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CD" w:rsidRPr="001A7B6A" w:rsidRDefault="00280ACD" w:rsidP="00280ACD">
      <w:pPr>
        <w:pStyle w:val="af4"/>
        <w:ind w:right="89" w:firstLine="500"/>
        <w:jc w:val="right"/>
        <w:rPr>
          <w:szCs w:val="28"/>
        </w:rPr>
      </w:pPr>
      <w:bookmarkStart w:id="0" w:name="_Hlk43388695"/>
      <w:r w:rsidRPr="001A7B6A">
        <w:rPr>
          <w:szCs w:val="28"/>
        </w:rPr>
        <w:t>Проект</w:t>
      </w: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Pr="007D59DC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в Правила благоустройства 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Талдомского городского 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округа Московской области </w:t>
      </w: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ACD" w:rsidRDefault="00280ACD" w:rsidP="00280A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на основании </w:t>
      </w:r>
      <w:r w:rsidRPr="00C45F54">
        <w:rPr>
          <w:rFonts w:ascii="Times New Roman" w:hAnsi="Times New Roman"/>
          <w:sz w:val="24"/>
          <w:szCs w:val="24"/>
        </w:rPr>
        <w:t xml:space="preserve">Уставом Талдомского городского округа Московской области зарегистрированного в Управлении Министерства юстиции РФ по Московской области Государственной регистрацией от 24.12.2018 г. № </w:t>
      </w:r>
      <w:r w:rsidRPr="00C45F54">
        <w:rPr>
          <w:rFonts w:ascii="Times New Roman" w:hAnsi="Times New Roman"/>
          <w:sz w:val="24"/>
          <w:szCs w:val="24"/>
          <w:lang w:val="en-US"/>
        </w:rPr>
        <w:t>RU</w:t>
      </w:r>
      <w:r w:rsidRPr="00C45F54">
        <w:rPr>
          <w:rFonts w:ascii="Times New Roman" w:hAnsi="Times New Roman"/>
          <w:sz w:val="24"/>
          <w:szCs w:val="24"/>
        </w:rPr>
        <w:t>5003650002018001</w:t>
      </w: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>, Совет депутатов Талдомского городского округа</w:t>
      </w: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280ACD" w:rsidRDefault="00280ACD" w:rsidP="00280ACD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и дополнения </w:t>
      </w: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Правила благоустройства Талдомского городского округа  Московской области, утвержденные решением Совета депутатов городского округа </w:t>
      </w:r>
      <w:r w:rsidRPr="00C45F54">
        <w:rPr>
          <w:rFonts w:ascii="Times New Roman" w:hAnsi="Times New Roman"/>
          <w:sz w:val="24"/>
          <w:szCs w:val="24"/>
        </w:rPr>
        <w:t xml:space="preserve">от </w:t>
      </w:r>
      <w:r w:rsidRPr="00C45F54">
        <w:rPr>
          <w:rFonts w:ascii="Times New Roman" w:hAnsi="Times New Roman"/>
          <w:bCs/>
          <w:sz w:val="24"/>
          <w:szCs w:val="24"/>
          <w:lang w:eastAsia="ru-RU"/>
        </w:rPr>
        <w:t>29.10.2020г.</w:t>
      </w:r>
      <w:r w:rsidRPr="00C45F5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C45F54">
        <w:rPr>
          <w:rFonts w:ascii="Times New Roman" w:hAnsi="Times New Roman"/>
          <w:bCs/>
          <w:iCs/>
          <w:sz w:val="24"/>
          <w:szCs w:val="24"/>
          <w:lang w:eastAsia="ru-RU"/>
        </w:rPr>
        <w:t>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 согласно приложению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0ACD" w:rsidRPr="00C45F54" w:rsidRDefault="00280ACD" w:rsidP="00280ACD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2. </w:t>
      </w:r>
      <w:r w:rsidR="007C627D">
        <w:rPr>
          <w:rFonts w:ascii="Times New Roman" w:hAnsi="Times New Roman"/>
          <w:sz w:val="24"/>
          <w:szCs w:val="24"/>
        </w:rPr>
        <w:t>Разместить</w:t>
      </w:r>
      <w:r w:rsidRPr="00C45F54">
        <w:rPr>
          <w:rFonts w:ascii="Times New Roman" w:hAnsi="Times New Roman"/>
          <w:sz w:val="24"/>
          <w:szCs w:val="24"/>
        </w:rPr>
        <w:t xml:space="preserve"> настоящее решение на официальном сайте администрации Талдомского городского округа Московской области в информационно-телекоммуникационной сети «Интернет».</w:t>
      </w:r>
    </w:p>
    <w:p w:rsidR="00280ACD" w:rsidRPr="00C45F54" w:rsidRDefault="00280ACD" w:rsidP="00280ACD">
      <w:pPr>
        <w:autoSpaceDE w:val="0"/>
        <w:autoSpaceDN w:val="0"/>
        <w:adjustRightInd w:val="0"/>
        <w:spacing w:before="2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280ACD" w:rsidRPr="00C45F54" w:rsidRDefault="00280ACD" w:rsidP="00280ACD">
      <w:pPr>
        <w:autoSpaceDE w:val="0"/>
        <w:autoSpaceDN w:val="0"/>
        <w:adjustRightInd w:val="0"/>
        <w:spacing w:before="2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председателя Совета депутатов Талдомского городского округа Московской области Аникеева М.И.</w:t>
      </w:r>
    </w:p>
    <w:p w:rsidR="00280ACD" w:rsidRDefault="00280ACD" w:rsidP="00280AC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Талдомского городского округа 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Московской области                                                                                  Аникеев М.И.</w:t>
      </w: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Глава Талдомского  городского округа 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0ACD" w:rsidRPr="00C45F54" w:rsidSect="00076A5A">
          <w:headerReference w:type="default" r:id="rId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  <w:r w:rsidRPr="00C45F54">
        <w:rPr>
          <w:rFonts w:ascii="Times New Roman" w:hAnsi="Times New Roman"/>
          <w:sz w:val="24"/>
          <w:szCs w:val="24"/>
        </w:rPr>
        <w:t>Московской области                                                                               Крупенин Ю.В.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решению Совета депутатов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Талдомского городского округа 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от_________________№________________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и дополнения в 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благоустройства Талдомского городского округа </w:t>
      </w:r>
    </w:p>
    <w:p w:rsidR="00280ACD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BA06FD" w:rsidRPr="0076778A" w:rsidRDefault="00BA06FD" w:rsidP="00280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6FD" w:rsidRPr="00BA06FD" w:rsidRDefault="00BA06FD" w:rsidP="00BA06FD">
      <w:pPr>
        <w:pStyle w:val="a3"/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A06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Статью 13 «Спортивные площадки» изложить в следующей редакции: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>«Статья 13. Спортивные площадки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2.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4. 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5. Спортивные площадки оборудуются сетчатым ограждением высотой 2,5-3 м, а в местах примыкания спортивных площадок друг к другу - высотой не менее 1,2 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Площадки для занятий гимнастикой (воркаутом), с тренажерами, для игры в шахматы, настольного тенниса, пляжного волейбола допускается не оборудовать ограждением.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Хоккейные коробки оборудуются хоккейным бортом и защитным ограждением.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6. Спортивное оборудование: </w:t>
      </w:r>
    </w:p>
    <w:p w:rsidR="00BA06FD" w:rsidRPr="00BA06FD" w:rsidRDefault="00BA06FD" w:rsidP="00BA06F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должно быть без трещин, дыр, заплат, разрывов цепей (тросов, канатов, сетки), гнили, разрушений, грибка, коррозии, пятен и потеков ржавчины, задиров, отщепов, сколов, острых концов и кромок; </w:t>
      </w:r>
    </w:p>
    <w:p w:rsidR="00BA06FD" w:rsidRPr="00BA06FD" w:rsidRDefault="00BA06FD" w:rsidP="00BA06F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не должно иметь выступающих элементов с острыми концами или кромками, должно иметь защиту концов труб, выступающих концов болтов, должно иметь закругленные углы и края любой доступной для пользователей части оборудования; </w:t>
      </w:r>
    </w:p>
    <w:p w:rsidR="00BA06FD" w:rsidRPr="00BA06FD" w:rsidRDefault="00BA06FD" w:rsidP="00BA06F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должно иметь гладкие сварные швы; </w:t>
      </w:r>
    </w:p>
    <w:p w:rsidR="00BA06FD" w:rsidRPr="00BA06FD" w:rsidRDefault="00BA06FD" w:rsidP="00BA06F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должно обеспечивать прочность и устойчивость.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Стойки (штанги) ворот, баскетбольные и волейбольные стойки на спортивных площадках, расположенных на общественных и дворовых территориях, не должны быть свободностоящими, не должны опрокидываться или скользить.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На спортивных площадках, расположенных на общественных и дворовых территориях, следует закреплять стойки (штанги) ворот в установочных гильзах, устанавливаемых в бетон (бетонные блоки). При закреплении ворот для мини-футбола и гандбола допускается использовать для установки крепления анкерного типа. </w:t>
      </w:r>
    </w:p>
    <w:p w:rsid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>Для исключения опрокидывания (скольжения) лицо, ответственное за эксплуатацию оборудования площадки (при его отсутствии - собственник, правообладатель оборудования), проводит оценку устойчивости ворот при горизонтальном нагружении в соответствии с требованиями национальных стандартов Российской Федерации.»;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0BAF" w:rsidRPr="00C10BAF" w:rsidRDefault="00BA06FD" w:rsidP="00C10BA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10BAF" w:rsidRPr="00C10BAF">
        <w:rPr>
          <w:rFonts w:ascii="Times New Roman" w:hAnsi="Times New Roman"/>
          <w:b/>
          <w:sz w:val="24"/>
          <w:szCs w:val="24"/>
        </w:rPr>
        <w:t xml:space="preserve">. </w:t>
      </w:r>
      <w:r w:rsidR="00C10BAF" w:rsidRPr="00C10BAF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 статьи 19 «Основные требования по организации освещения» изложить в следующей редакции:</w:t>
      </w:r>
    </w:p>
    <w:p w:rsidR="00C10BAF" w:rsidRPr="00C10BAF" w:rsidRDefault="00C10BAF" w:rsidP="00C10BAF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C10BAF"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r w:rsidRPr="00C10BAF">
        <w:rPr>
          <w:rFonts w:ascii="Times New Roman" w:eastAsia="Times New Roman" w:hAnsi="Times New Roman"/>
          <w:sz w:val="24"/>
          <w:szCs w:val="24"/>
        </w:rPr>
        <w:t xml:space="preserve">Мероприятия по созданию </w:t>
      </w:r>
      <w:r w:rsidRPr="00C10BAF">
        <w:rPr>
          <w:rFonts w:ascii="Times New Roman" w:hAnsi="Times New Roman"/>
          <w:bCs/>
          <w:sz w:val="24"/>
          <w:szCs w:val="24"/>
        </w:rPr>
        <w:t xml:space="preserve">новых и развитию существующих систем наружного освещения на </w:t>
      </w:r>
      <w:r w:rsidRPr="00C10BAF">
        <w:rPr>
          <w:rFonts w:ascii="Times New Roman" w:eastAsia="Times New Roman" w:hAnsi="Times New Roman"/>
          <w:sz w:val="24"/>
          <w:szCs w:val="24"/>
        </w:rPr>
        <w:t xml:space="preserve">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</w:t>
      </w:r>
      <w:r w:rsidRPr="00C10BAF">
        <w:rPr>
          <w:rFonts w:ascii="Times New Roman" w:hAnsi="Times New Roman"/>
          <w:sz w:val="24"/>
          <w:szCs w:val="24"/>
        </w:rPr>
        <w:t xml:space="preserve">объекты социальной инфраструктуры, </w:t>
      </w:r>
      <w:r w:rsidRPr="00C10BAF">
        <w:rPr>
          <w:rFonts w:ascii="Times New Roman" w:eastAsia="Times New Roman" w:hAnsi="Times New Roman"/>
          <w:sz w:val="24"/>
          <w:szCs w:val="24"/>
        </w:rPr>
        <w:t>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Российской Федерации, требованиями к осветительным устройствами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:rsidR="00C10BAF" w:rsidRDefault="00C10BAF" w:rsidP="00C10BAF">
      <w:pPr>
        <w:spacing w:after="0" w:line="360" w:lineRule="auto"/>
        <w:ind w:firstLine="53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10BA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Показатели средней освещенности, характеристики </w:t>
      </w:r>
      <w:r w:rsidRPr="00C10BAF">
        <w:rPr>
          <w:rFonts w:ascii="Times New Roman" w:hAnsi="Times New Roman"/>
          <w:bCs/>
          <w:kern w:val="24"/>
          <w:sz w:val="24"/>
          <w:szCs w:val="24"/>
        </w:rPr>
        <w:t xml:space="preserve">светильников и опор наружного освещения (в том числе их </w:t>
      </w:r>
      <w:r w:rsidRPr="00C10BA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высота), для устройства систем наружного освещения на сложившихся застроенных территориях кварталов, жилых районов, </w:t>
      </w:r>
      <w:r w:rsidRPr="00C10BAF">
        <w:rPr>
          <w:rFonts w:ascii="Times New Roman" w:eastAsia="Times New Roman" w:hAnsi="Times New Roman"/>
          <w:sz w:val="24"/>
          <w:szCs w:val="24"/>
        </w:rPr>
        <w:t xml:space="preserve">общественных и иных территориях общего пользования, не являющихся улицами и дорогами, а также на территориях объектовобщественного назначения, </w:t>
      </w:r>
      <w:r w:rsidRPr="00C10BAF">
        <w:rPr>
          <w:rFonts w:ascii="Times New Roman" w:hAnsi="Times New Roman"/>
          <w:bCs/>
          <w:kern w:val="24"/>
          <w:sz w:val="24"/>
          <w:szCs w:val="24"/>
        </w:rPr>
        <w:t xml:space="preserve">устанавливаются </w:t>
      </w:r>
      <w:r w:rsidRPr="00C10BAF">
        <w:rPr>
          <w:rFonts w:ascii="Times New Roman" w:eastAsia="Times New Roman" w:hAnsi="Times New Roman"/>
          <w:sz w:val="24"/>
          <w:szCs w:val="24"/>
        </w:rPr>
        <w:t>уполномоченным органом исполнительной власти Московской области в сфере благоустройства</w:t>
      </w:r>
      <w:r w:rsidRPr="00C10BAF">
        <w:rPr>
          <w:rFonts w:ascii="Times New Roman" w:hAnsi="Times New Roman"/>
          <w:bCs/>
          <w:kern w:val="24"/>
          <w:sz w:val="24"/>
          <w:szCs w:val="24"/>
        </w:rPr>
        <w:t>.».</w:t>
      </w:r>
    </w:p>
    <w:p w:rsidR="00BA06FD" w:rsidRPr="003024F5" w:rsidRDefault="00BA06FD" w:rsidP="00BA06F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4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="003024F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3024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татью 39 «Особенности озеленения территорий </w:t>
      </w:r>
      <w:r w:rsidR="003024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Талдомского </w:t>
      </w:r>
      <w:r w:rsidRPr="003024F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округа» изложить в следующей редакции:</w:t>
      </w:r>
    </w:p>
    <w:p w:rsidR="00BA06FD" w:rsidRPr="00BA06FD" w:rsidRDefault="00BA06FD" w:rsidP="00BA06F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6FD">
        <w:rPr>
          <w:rFonts w:ascii="Times New Roman" w:hAnsi="Times New Roman"/>
          <w:sz w:val="24"/>
          <w:szCs w:val="24"/>
        </w:rPr>
        <w:t xml:space="preserve">«Статья </w:t>
      </w:r>
      <w:r w:rsidR="003024F5">
        <w:rPr>
          <w:rFonts w:ascii="Times New Roman" w:hAnsi="Times New Roman"/>
          <w:sz w:val="24"/>
          <w:szCs w:val="24"/>
        </w:rPr>
        <w:t>39</w:t>
      </w:r>
      <w:r w:rsidRPr="00BA06FD">
        <w:rPr>
          <w:rFonts w:ascii="Times New Roman" w:hAnsi="Times New Roman"/>
          <w:sz w:val="24"/>
          <w:szCs w:val="24"/>
        </w:rPr>
        <w:t>.</w:t>
      </w:r>
      <w:r w:rsidR="003024F5">
        <w:rPr>
          <w:rFonts w:ascii="Times New Roman" w:hAnsi="Times New Roman"/>
          <w:sz w:val="24"/>
          <w:szCs w:val="24"/>
        </w:rPr>
        <w:t xml:space="preserve"> </w:t>
      </w:r>
      <w:r w:rsidRPr="00BA06F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озеленения территорий </w:t>
      </w:r>
      <w:r w:rsidR="003024F5">
        <w:rPr>
          <w:rFonts w:ascii="Times New Roman" w:eastAsia="Times New Roman" w:hAnsi="Times New Roman"/>
          <w:sz w:val="24"/>
          <w:szCs w:val="24"/>
          <w:lang w:eastAsia="ru-RU"/>
        </w:rPr>
        <w:t xml:space="preserve">Талдомского </w:t>
      </w:r>
      <w:r w:rsidRPr="00BA06F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BA06FD" w:rsidRPr="00BA06FD" w:rsidRDefault="00BA06FD" w:rsidP="00BA06F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6FD">
        <w:rPr>
          <w:rFonts w:ascii="Times New Roman" w:hAnsi="Times New Roman"/>
          <w:sz w:val="24"/>
          <w:szCs w:val="24"/>
        </w:rPr>
        <w:t xml:space="preserve">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:rsidR="00BA06FD" w:rsidRPr="003024F5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24F5">
        <w:rPr>
          <w:rFonts w:ascii="Times New Roman" w:hAnsi="Times New Roman"/>
          <w:sz w:val="24"/>
          <w:szCs w:val="24"/>
        </w:rPr>
        <w:t xml:space="preserve">2. На территории </w:t>
      </w:r>
      <w:r w:rsidR="003024F5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3024F5">
        <w:rPr>
          <w:rFonts w:ascii="Times New Roman" w:hAnsi="Times New Roman"/>
          <w:sz w:val="24"/>
          <w:szCs w:val="24"/>
        </w:rPr>
        <w:t xml:space="preserve"> могут использоваться два вида озеленения: стационарное - посадка элементов озеленения в грунт и мобильное - посадка элементов озеленения в специальные передвижные емкости (контейнеры, вазоны и т.п.). Стационарное и мобильное озеленение создают, развивают и содержат на объектах благоустройства, в том числе на объектах ландшафтного искусства (парки, скверы, бульвары и иные общественные территории) и архитектурно-ландшафтных объектах (садово-парковые массивы и группы, солитеры, сады, аллеи, рощи, мавританские и иные газоны, клумбы и иные цветники, озелененные площадки с деревьями и кустарниками), на внешних поверхностях зданий, строений, сооружений, включая крыши (крышное озеленение), фасады (вертикальное озеленение). </w:t>
      </w:r>
    </w:p>
    <w:p w:rsidR="00BA06FD" w:rsidRPr="003024F5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24F5">
        <w:rPr>
          <w:rFonts w:ascii="Times New Roman" w:hAnsi="Times New Roman"/>
          <w:sz w:val="24"/>
          <w:szCs w:val="24"/>
        </w:rPr>
        <w:t>Видовой состав, возраст, особенности содержания высаживаемых деревьев и кустарников, а также подлежащие учету при планировании озеленения минимальные расстояния посадок деревьев и кустарников до инженерных сетей, зданий, строений, сооружений, размеры комов, ям и траншей для посадки деревьев и кустарников установлены в таблицах 1-5 настоящей</w:t>
      </w:r>
      <w:r w:rsidR="003024F5">
        <w:rPr>
          <w:rFonts w:ascii="Times New Roman" w:hAnsi="Times New Roman"/>
          <w:sz w:val="24"/>
          <w:szCs w:val="24"/>
        </w:rPr>
        <w:t xml:space="preserve"> </w:t>
      </w:r>
      <w:r w:rsidRPr="003024F5">
        <w:rPr>
          <w:rFonts w:ascii="Times New Roman" w:hAnsi="Times New Roman"/>
          <w:sz w:val="24"/>
          <w:szCs w:val="24"/>
        </w:rPr>
        <w:t xml:space="preserve">статьи.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6FD">
        <w:rPr>
          <w:rFonts w:ascii="Times New Roman" w:hAnsi="Times New Roman"/>
          <w:sz w:val="24"/>
          <w:szCs w:val="24"/>
        </w:rPr>
        <w:t xml:space="preserve">3. 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оформление. На территориях </w:t>
      </w:r>
      <w:r w:rsidR="003024F5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A06FD">
        <w:rPr>
          <w:rFonts w:ascii="Times New Roman" w:hAnsi="Times New Roman"/>
          <w:sz w:val="24"/>
          <w:szCs w:val="24"/>
        </w:rPr>
        <w:t xml:space="preserve">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6FD">
        <w:rPr>
          <w:rFonts w:ascii="Times New Roman" w:hAnsi="Times New Roman"/>
          <w:sz w:val="24"/>
          <w:szCs w:val="24"/>
        </w:rPr>
        <w:t xml:space="preserve">4. При посадке деревьев в зонах действия теплотрасс учитывается фактор прогревания почвы в обе стороны от оси теплотрассы на расстояние: до 2 м - интенсивное прогревание, 2-6 м - среднее прогревание, 6-10 м - слабого. У теплотрасс рекомендуется размещать: липу, клен, сирень, жимолость - ближе 2 м; тополь, боярышник, кизильник, дерен, лиственницу, березу - ближе 3-4 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6FD">
        <w:rPr>
          <w:rFonts w:ascii="Times New Roman" w:hAnsi="Times New Roman"/>
          <w:sz w:val="24"/>
          <w:szCs w:val="24"/>
        </w:rPr>
        <w:t xml:space="preserve">5. При воздействии неблагоприятных техногенных и климатических факторов на различные территории </w:t>
      </w:r>
      <w:r w:rsidR="003024F5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A06FD">
        <w:rPr>
          <w:rFonts w:ascii="Times New Roman" w:hAnsi="Times New Roman"/>
          <w:sz w:val="24"/>
          <w:szCs w:val="24"/>
        </w:rPr>
        <w:t xml:space="preserve"> формируются защитные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 </w:t>
      </w:r>
    </w:p>
    <w:p w:rsidR="00BA06FD" w:rsidRPr="003024F5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6FD">
        <w:rPr>
          <w:rFonts w:ascii="Times New Roman" w:hAnsi="Times New Roman"/>
          <w:sz w:val="24"/>
          <w:szCs w:val="24"/>
        </w:rPr>
        <w:t>6.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r w:rsidRPr="003024F5">
        <w:rPr>
          <w:rFonts w:ascii="Times New Roman" w:hAnsi="Times New Roman"/>
          <w:sz w:val="24"/>
          <w:szCs w:val="24"/>
        </w:rPr>
        <w:t xml:space="preserve">несмыкание крон). </w:t>
      </w:r>
    </w:p>
    <w:p w:rsidR="00BA06FD" w:rsidRPr="003024F5" w:rsidRDefault="00BA06FD" w:rsidP="00BA06F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eastAsia="Times New Roman" w:hAnsi="Times New Roman"/>
          <w:sz w:val="20"/>
          <w:szCs w:val="20"/>
          <w:lang w:eastAsia="ru-RU"/>
        </w:rPr>
        <w:t>Таблица 1«</w:t>
      </w:r>
      <w:r w:rsidRPr="003024F5">
        <w:rPr>
          <w:rFonts w:ascii="Times New Roman" w:hAnsi="Times New Roman"/>
          <w:sz w:val="20"/>
          <w:szCs w:val="20"/>
        </w:rPr>
        <w:t>Видовой (породный) состав, возраст ценных деревьев и кустарников»</w:t>
      </w:r>
    </w:p>
    <w:p w:rsidR="00BA06FD" w:rsidRPr="003024F5" w:rsidRDefault="00BA06FD" w:rsidP="00BA06F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284"/>
        <w:gridCol w:w="6662"/>
      </w:tblGrid>
      <w:tr w:rsidR="00BA06FD" w:rsidRPr="00571F01" w:rsidTr="00571F01">
        <w:trPr>
          <w:trHeight w:val="124"/>
        </w:trPr>
        <w:tc>
          <w:tcPr>
            <w:tcW w:w="2268" w:type="dxa"/>
            <w:gridSpan w:val="2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 ценности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Деревья и кустарники</w:t>
            </w:r>
          </w:p>
        </w:tc>
      </w:tr>
      <w:tr w:rsidR="00BA06FD" w:rsidRPr="00571F01" w:rsidTr="00571F01">
        <w:trPr>
          <w:trHeight w:val="238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88" w:right="-121" w:hanging="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Ценность</w:t>
            </w:r>
          </w:p>
        </w:tc>
        <w:tc>
          <w:tcPr>
            <w:tcW w:w="6946" w:type="dxa"/>
            <w:gridSpan w:val="2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06FD" w:rsidRPr="00571F01" w:rsidTr="00571F01">
        <w:trPr>
          <w:trHeight w:val="25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gridSpan w:val="2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06FD" w:rsidRPr="00571F01" w:rsidTr="00571F01">
        <w:trPr>
          <w:trHeight w:val="166"/>
        </w:trPr>
        <w:tc>
          <w:tcPr>
            <w:tcW w:w="9214" w:type="dxa"/>
            <w:gridSpan w:val="4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1F0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Настоящая таблица не распространяется на лесные насаждения, памятники природы, объекты растительного мира</w:t>
            </w:r>
            <w:r w:rsidRPr="00571F0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границах особо охраняемых природных территорий.</w:t>
            </w:r>
          </w:p>
        </w:tc>
      </w:tr>
      <w:tr w:rsidR="00BA06FD" w:rsidRPr="00571F01" w:rsidTr="00571F01">
        <w:trPr>
          <w:trHeight w:val="166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Уникальные, невосполнимые, ценные в экологическом, научном, культурном и эстетическом отношениях</w:t>
            </w:r>
          </w:p>
        </w:tc>
        <w:tc>
          <w:tcPr>
            <w:tcW w:w="284" w:type="dxa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10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занесенныев Красную книгу Российской Федерации</w:t>
            </w:r>
          </w:p>
        </w:tc>
      </w:tr>
      <w:tr w:rsidR="00BA06FD" w:rsidRPr="00571F01" w:rsidTr="00571F01">
        <w:trPr>
          <w:trHeight w:val="144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занесенныев Красную книгу Московской области</w:t>
            </w:r>
          </w:p>
        </w:tc>
      </w:tr>
      <w:tr w:rsidR="00BA06FD" w:rsidRPr="00571F01" w:rsidTr="00571F01">
        <w:trPr>
          <w:trHeight w:val="200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Деревья и кустарники, высаженные в рамках праздничных дней и памятных дат</w:t>
            </w:r>
          </w:p>
        </w:tc>
      </w:tr>
      <w:tr w:rsidR="00BA06FD" w:rsidRPr="00571F01" w:rsidTr="00571F01">
        <w:trPr>
          <w:trHeight w:val="222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Деревья-долгожители</w:t>
            </w:r>
          </w:p>
        </w:tc>
      </w:tr>
      <w:tr w:rsidR="00BA06FD" w:rsidRPr="00571F01" w:rsidTr="00571F01">
        <w:trPr>
          <w:trHeight w:val="35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59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Хвойные породы</w:t>
            </w: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Ель(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Ель, за исключениемгруппы ценности «Ц»)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Лиственница(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Лиственница, за исключением группы ценности «Ц»)</w:t>
            </w:r>
          </w:p>
        </w:tc>
      </w:tr>
      <w:tr w:rsidR="00BA06FD" w:rsidRPr="00571F01" w:rsidTr="00571F01">
        <w:trPr>
          <w:trHeight w:val="19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Пихта 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Пихта, за исключением группы ценности «Ц»)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Сосна(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Сосна, за исключением группы ценности «Ц»)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Кедр 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Кедр, за исключением группы ценности «Ц»)</w:t>
            </w:r>
          </w:p>
        </w:tc>
      </w:tr>
      <w:tr w:rsidR="00BA06FD" w:rsidRPr="00571F01" w:rsidTr="00571F01">
        <w:trPr>
          <w:trHeight w:val="102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Туя 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Туя, за исключением группы ценности «Ц»)</w:t>
            </w:r>
          </w:p>
        </w:tc>
      </w:tr>
      <w:tr w:rsidR="00BA06FD" w:rsidRPr="00571F01" w:rsidTr="00571F01">
        <w:trPr>
          <w:trHeight w:val="120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Можжевельник(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Можжевельник, за исключением группы ценности «Ц»)</w:t>
            </w:r>
          </w:p>
        </w:tc>
      </w:tr>
      <w:tr w:rsidR="00BA06FD" w:rsidRPr="00571F01" w:rsidTr="00571F01">
        <w:trPr>
          <w:trHeight w:val="86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Кипарисовик(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Кипарисовик)</w:t>
            </w:r>
          </w:p>
        </w:tc>
      </w:tr>
      <w:tr w:rsidR="00BA06FD" w:rsidRPr="00571F01" w:rsidTr="00571F01">
        <w:trPr>
          <w:trHeight w:val="252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Туевик(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Туевик)</w:t>
            </w:r>
          </w:p>
        </w:tc>
      </w:tr>
      <w:tr w:rsidR="00BA06FD" w:rsidRPr="00571F01" w:rsidTr="00571F01">
        <w:trPr>
          <w:trHeight w:val="176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Тсуга 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Тсуга)</w:t>
            </w:r>
          </w:p>
        </w:tc>
      </w:tr>
      <w:tr w:rsidR="00BA06FD" w:rsidRPr="00571F01" w:rsidTr="00571F01">
        <w:trPr>
          <w:trHeight w:val="74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Псевдотсуга(все виды рода Псевдотсуга)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Криптомерия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Сциадопитис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Метасеквойя</w:t>
            </w:r>
          </w:p>
        </w:tc>
      </w:tr>
      <w:tr w:rsidR="00BA06FD" w:rsidRPr="00571F01" w:rsidTr="00571F01">
        <w:trPr>
          <w:trHeight w:val="88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Тис(все виды рода Тис, за исключением группы ценности «Ц»)</w:t>
            </w:r>
          </w:p>
        </w:tc>
      </w:tr>
      <w:tr w:rsidR="00BA06FD" w:rsidRPr="00571F01" w:rsidTr="00571F01">
        <w:trPr>
          <w:trHeight w:val="176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Особо ценные лиственные древесные породы</w:t>
            </w: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Акация белая(за исключением группы ценности «Ц»)</w:t>
            </w:r>
          </w:p>
        </w:tc>
      </w:tr>
      <w:tr w:rsidR="00BA06FD" w:rsidRPr="00571F01" w:rsidTr="00571F01">
        <w:trPr>
          <w:trHeight w:val="203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Бархат (все виды рода Бархат, за исключением группы ценности «Ц»)</w:t>
            </w:r>
          </w:p>
        </w:tc>
      </w:tr>
      <w:tr w:rsidR="00BA06FD" w:rsidRPr="00571F01" w:rsidTr="00571F01">
        <w:trPr>
          <w:trHeight w:val="12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Вяз (все виды рода Вяз, за исключением группы ценности «Ц»)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Дуб (все виды рода Дуб, за исключением группы ценности «Ц»)</w:t>
            </w:r>
          </w:p>
        </w:tc>
      </w:tr>
      <w:tr w:rsidR="00BA06FD" w:rsidRPr="00571F01" w:rsidTr="00571F01">
        <w:trPr>
          <w:trHeight w:val="108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Ива белая(за исключением группы ценности «Ц»)</w:t>
            </w:r>
          </w:p>
        </w:tc>
      </w:tr>
      <w:tr w:rsidR="00BA06FD" w:rsidRPr="00571F01" w:rsidTr="00571F01">
        <w:trPr>
          <w:trHeight w:val="115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Каштан(все виды родаКаштан, за исключением группы ценности «Ц»)</w:t>
            </w:r>
          </w:p>
        </w:tc>
      </w:tr>
      <w:tr w:rsidR="00BA06FD" w:rsidRPr="00571F01" w:rsidTr="00571F01">
        <w:trPr>
          <w:trHeight w:val="94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Клен(все виды рода Клен, за исключением группы ценности «Ц», клена ясенелистного)</w:t>
            </w:r>
          </w:p>
        </w:tc>
      </w:tr>
      <w:tr w:rsidR="00BA06FD" w:rsidRPr="00571F01" w:rsidTr="00571F01">
        <w:trPr>
          <w:trHeight w:val="12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Липа(все виды рода Липа, за исключением группы ценности «Ц»)</w:t>
            </w:r>
          </w:p>
        </w:tc>
      </w:tr>
      <w:tr w:rsidR="00BA06FD" w:rsidRPr="00571F01" w:rsidTr="00571F01">
        <w:trPr>
          <w:trHeight w:val="10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Лох(все виды рода Лох, за исключением группы ценности «Ц»)</w:t>
            </w:r>
          </w:p>
        </w:tc>
      </w:tr>
      <w:tr w:rsidR="00BA06FD" w:rsidRPr="00571F01" w:rsidTr="00571F01">
        <w:trPr>
          <w:trHeight w:val="10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Орех, Лещина(все виды рода Орех, за исключением группы ценности «Ц»)</w:t>
            </w:r>
          </w:p>
        </w:tc>
      </w:tr>
      <w:tr w:rsidR="00BA06FD" w:rsidRPr="00571F01" w:rsidTr="00571F01">
        <w:trPr>
          <w:trHeight w:val="12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Ясень(все виды рода Ясень, за исключением группы ценности «Ц»)</w:t>
            </w:r>
          </w:p>
        </w:tc>
      </w:tr>
      <w:tr w:rsidR="00BA06FD" w:rsidRPr="00571F01" w:rsidTr="00571F01">
        <w:trPr>
          <w:trHeight w:val="182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Ценные лиственные древесные породы</w:t>
            </w: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Береза(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Береза, за исключением группы ценности «Ц»)</w:t>
            </w:r>
          </w:p>
        </w:tc>
      </w:tr>
      <w:tr w:rsidR="00BA06FD" w:rsidRPr="00571F01" w:rsidTr="00571F01">
        <w:trPr>
          <w:trHeight w:val="142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Боярышник на штамбе</w:t>
            </w:r>
          </w:p>
        </w:tc>
      </w:tr>
      <w:tr w:rsidR="00BA06FD" w:rsidRPr="00571F01" w:rsidTr="00571F01">
        <w:trPr>
          <w:trHeight w:val="14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83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Декоративные плодовые деревья и кустарники (все виды родов Яблоня, Слива, Груша, Вишня, Абрикос)</w:t>
            </w:r>
          </w:p>
        </w:tc>
      </w:tr>
      <w:tr w:rsidR="00BA06FD" w:rsidRPr="00571F01" w:rsidTr="00571F01">
        <w:trPr>
          <w:trHeight w:val="8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Рябина(все виды рода Рябина, за исключением группы ценности «Ц»)</w:t>
            </w:r>
          </w:p>
        </w:tc>
      </w:tr>
      <w:tr w:rsidR="00BA06FD" w:rsidRPr="00571F01" w:rsidTr="00571F01">
        <w:trPr>
          <w:trHeight w:val="115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Сирень(все виды рода Сирень, за исключением группы ценности «Ц»)</w:t>
            </w:r>
          </w:p>
        </w:tc>
      </w:tr>
      <w:tr w:rsidR="00BA06FD" w:rsidRPr="00571F01" w:rsidTr="00571F01">
        <w:trPr>
          <w:trHeight w:val="10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Тополь белый(за исключением группы ценности «Ц»)</w:t>
            </w:r>
          </w:p>
        </w:tc>
      </w:tr>
      <w:tr w:rsidR="00BA06FD" w:rsidRPr="00571F01" w:rsidTr="00571F01">
        <w:trPr>
          <w:trHeight w:val="10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Тополь пирамидальный(за исключением группы ценности «Ц»)</w:t>
            </w:r>
          </w:p>
        </w:tc>
      </w:tr>
      <w:tr w:rsidR="00BA06FD" w:rsidRPr="00571F01" w:rsidTr="00571F01">
        <w:trPr>
          <w:trHeight w:val="94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Черемуха(все виды рода Черемуха, за исключением группы ценности «Ц»)</w:t>
            </w:r>
          </w:p>
        </w:tc>
      </w:tr>
      <w:tr w:rsidR="00BA06FD" w:rsidRPr="00571F01" w:rsidTr="00571F01">
        <w:trPr>
          <w:trHeight w:val="121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Самшит(все виды рода Самшит, за исключением группы ценности «Ц»)</w:t>
            </w:r>
          </w:p>
        </w:tc>
      </w:tr>
      <w:tr w:rsidR="00BA06FD" w:rsidRPr="00571F01" w:rsidTr="00571F01">
        <w:trPr>
          <w:trHeight w:val="95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Жимолость(все виды рода Жимолость, за исключением группы ценности «Ц»)</w:t>
            </w:r>
          </w:p>
        </w:tc>
      </w:tr>
      <w:tr w:rsidR="00BA06FD" w:rsidRPr="00571F01" w:rsidTr="00571F01">
        <w:trPr>
          <w:trHeight w:val="115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Малоценные</w:t>
            </w:r>
          </w:p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 лиственные древесные породы</w:t>
            </w: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Ива (все виды рода Ива, за исключением групп ценности «Ц»,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</w:tr>
      <w:tr w:rsidR="00BA06FD" w:rsidRPr="00571F01" w:rsidTr="00571F01">
        <w:trPr>
          <w:trHeight w:val="12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Ольха(все виды рода Ольха, за исключением групп ценности «Ц»)</w:t>
            </w:r>
          </w:p>
        </w:tc>
      </w:tr>
      <w:tr w:rsidR="00BA06FD" w:rsidRPr="00571F01" w:rsidTr="00571F01">
        <w:trPr>
          <w:trHeight w:val="147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Тополь (все виды рода Тополь, за исключением групп ценности «Ц»,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</w:tr>
      <w:tr w:rsidR="00BA06FD" w:rsidRPr="00571F01" w:rsidTr="00571F01">
        <w:trPr>
          <w:trHeight w:val="211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Лиственные древесные породы, не указанные в группах «Ц», «Х»,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 и не являющиеся вредными инвазивными зелеными насаждениями</w:t>
            </w:r>
          </w:p>
        </w:tc>
      </w:tr>
    </w:tbl>
    <w:p w:rsidR="00BA06FD" w:rsidRPr="003024F5" w:rsidRDefault="00BA06FD" w:rsidP="00BA06FD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A06FD" w:rsidRPr="003024F5" w:rsidRDefault="00BA06FD" w:rsidP="00BA06FD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hAnsi="Times New Roman"/>
          <w:sz w:val="20"/>
          <w:szCs w:val="20"/>
        </w:rPr>
        <w:t>Таблица 2 «Особенности назначаемых к пересадке деревьев»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559"/>
        <w:gridCol w:w="1984"/>
        <w:gridCol w:w="1276"/>
        <w:gridCol w:w="1276"/>
        <w:gridCol w:w="1134"/>
        <w:gridCol w:w="1701"/>
      </w:tblGrid>
      <w:tr w:rsidR="00BA06FD" w:rsidRPr="00571F01" w:rsidTr="003024F5">
        <w:trPr>
          <w:trHeight w:val="336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Краткие характеристики мест произрастания</w:t>
            </w:r>
          </w:p>
        </w:tc>
        <w:tc>
          <w:tcPr>
            <w:tcW w:w="5670" w:type="dxa"/>
            <w:gridSpan w:val="4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Ориентировочные характеристики пересаживаемых деревьев 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52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Оптимальные места посадки пересаживаемых деревьев</w:t>
            </w:r>
          </w:p>
        </w:tc>
      </w:tr>
      <w:tr w:rsidR="00BA06FD" w:rsidRPr="00571F01" w:rsidTr="003024F5">
        <w:trPr>
          <w:trHeight w:val="537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Пересаживаемые деревья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Предельный 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max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 xml:space="preserve"> диаметр ствола пересаживаемых деревьев</w:t>
            </w:r>
          </w:p>
          <w:p w:rsidR="00BA06FD" w:rsidRPr="00571F01" w:rsidRDefault="00BA06FD" w:rsidP="00BA06F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(см)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Ориентировочная высота пересаживаемых деревьев</w:t>
            </w:r>
          </w:p>
          <w:p w:rsidR="00BA06FD" w:rsidRPr="00571F01" w:rsidRDefault="00BA06FD" w:rsidP="00BA06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113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Рекомендации 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по обрезке при подготовке к пересадке</w:t>
            </w: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473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Здоровые деревья растут без бокового затенения. </w:t>
            </w:r>
          </w:p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до соседних деревьев не менее 3 м. </w:t>
            </w:r>
          </w:p>
          <w:p w:rsidR="00BA06FD" w:rsidRPr="00571F01" w:rsidRDefault="00BA06FD" w:rsidP="00BA06FD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Кроны хорошо развиты.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Лиственные деревья</w:t>
            </w:r>
          </w:p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высота штамба не более 2,2 м, до 10скелетных ветвей 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до 15 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(береза до 10)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Санитарная прочистка кроны, незначительная обрезка 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Территория жилых районов, кварталов, исключая сопредельные территории детских площадок, места отдыха и постоянного местонахождения людей. </w:t>
            </w:r>
          </w:p>
        </w:tc>
      </w:tr>
      <w:tr w:rsidR="00BA06FD" w:rsidRPr="00571F01" w:rsidTr="003024F5">
        <w:trPr>
          <w:trHeight w:val="560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Хвойные деревья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диаметр кроны не более 2 м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до 10 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56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Деревья в удовлетворительном состоянии растут без бокового затенения. </w:t>
            </w:r>
          </w:p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до соседних деревьев не менее 3 м. </w:t>
            </w:r>
          </w:p>
          <w:p w:rsidR="00BA06FD" w:rsidRPr="00571F01" w:rsidRDefault="00BA06FD" w:rsidP="00BA06FD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Кроны хорошоразвиты.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Лиственные деревья 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до 15 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(береза до 10)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7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Производственные территории, озелененные территории, прилегающие к производственным территориям, общественным территориям, поймы рек.</w:t>
            </w:r>
          </w:p>
        </w:tc>
      </w:tr>
      <w:tr w:rsidR="00BA06FD" w:rsidRPr="00571F01" w:rsidTr="003024F5">
        <w:trPr>
          <w:trHeight w:val="414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10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Деревья в удовлетворительном состоянии растут при боковом затенении.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до соседних деревьев менее 3 м, но достаточное для формирования кома необходимых размеров. Кроны средне изреженные, нижние скелетные ветви находятся не выше 4 м от земли. 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15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Санитарная и формовочная обрезка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приречный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Дуб(все виды рода Дуб)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Рябина(все виды рода Рябина)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Боярышник штамбовый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Сосна (все виды рода Сосна)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4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Туя (все виды рода Туя)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7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47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1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7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8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1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9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7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Липа(все виды рода Липа)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0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Деревья в удовлетворительном состоянии растут без бокового затенения.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до соседних деревьев не менее 4-5 м. Кроны хорошо развиты. Нижние скелетные ветви начинаются на высоте не более 4 м от земли. 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12</w:t>
            </w:r>
          </w:p>
        </w:tc>
        <w:tc>
          <w:tcPr>
            <w:tcW w:w="113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Санитарная, формовочная и омолаживающая обрезка со снижением высоты дерева до 8-9 м (кроме хвойных) и уменьшением диаметра кроны до 3-4 м </w:t>
            </w:r>
          </w:p>
          <w:p w:rsidR="00BA06FD" w:rsidRPr="00571F01" w:rsidRDefault="00BA06FD" w:rsidP="00BA06FD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9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4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9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8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8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Липа(все виды рода Липа)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Деревья в удовлетворительном состоянии растут при боковом затенении.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до соседних деревьев менее 4 м, но </w:t>
            </w: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достаточное для формирования кома необходимых размеров. Кроны средне изрежены, несимметричные.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18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20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до 12</w:t>
            </w: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07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0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Деревья в удовлетворительном состоянии растут без бокового затенения.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между соседними деревьями не менее 7 м.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Кроны хорошо развитые, симметричные.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25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8-12</w:t>
            </w: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Санитарная и формовочная обрезка </w:t>
            </w: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73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73"/>
        </w:trPr>
        <w:tc>
          <w:tcPr>
            <w:tcW w:w="9214" w:type="dxa"/>
            <w:gridSpan w:val="7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u w:val="single"/>
              </w:rPr>
              <w:t>Примечание: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Назначение в пересадку деревьев особо ценных пород с диаметром ствола более 25 см производится в исключительных случаях. При назначении в пересадку деревьев 4-6 групп учитывается риск ветровала после посадки.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Диаметр или размер стороны квадрата кома земли для пересадки взрослых деревьев должны быть не менее 70 см при толщине ствола до 5 см. При увеличении толщины ствола на каждый сантиметр размер кома увеличивается на 10-13 см.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Пересадка деревьев с диаметром ствола более 15 см осуществляется на удалении от застройки, улично-дорожной сети и путей движения общего пользования.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Запрещается пересадка деревьев при отсутствии ветвления на высоте до 4 м.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При пересадке деревьев на новое место необходимо учитывать: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факторы;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соответствие площади корневого питания параметрам пересаживаемого дерева для дальнейшего развития его корневой системы;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долговечность произрастания дерева в новых условиях при сохранении им декоративных и санитарно-гигиенических качеств.</w:t>
            </w:r>
          </w:p>
        </w:tc>
      </w:tr>
    </w:tbl>
    <w:p w:rsidR="00BA06FD" w:rsidRPr="003024F5" w:rsidRDefault="00BA06FD" w:rsidP="00BA06FD">
      <w:pPr>
        <w:ind w:right="-284"/>
        <w:rPr>
          <w:rFonts w:ascii="Century Gothic" w:hAnsi="Century Gothic"/>
          <w:sz w:val="4"/>
          <w:szCs w:val="4"/>
        </w:rPr>
      </w:pPr>
    </w:p>
    <w:p w:rsidR="00BA06FD" w:rsidRPr="003024F5" w:rsidRDefault="00BA06FD" w:rsidP="00BA06FD">
      <w:pPr>
        <w:spacing w:after="0"/>
        <w:ind w:right="-1" w:firstLine="426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hAnsi="Times New Roman"/>
          <w:sz w:val="20"/>
          <w:szCs w:val="20"/>
        </w:rPr>
        <w:t>Таблица 3 «Видовой состав, особенности содержания высаживаемых деревьев и кустарников для учета при озеленении</w:t>
      </w:r>
      <w:r w:rsidR="00571F01">
        <w:rPr>
          <w:rFonts w:ascii="Times New Roman" w:hAnsi="Times New Roman"/>
          <w:sz w:val="20"/>
          <w:szCs w:val="20"/>
        </w:rPr>
        <w:t xml:space="preserve"> </w:t>
      </w:r>
      <w:r w:rsidRPr="003024F5">
        <w:rPr>
          <w:rFonts w:ascii="Times New Roman" w:hAnsi="Times New Roman"/>
          <w:sz w:val="20"/>
          <w:szCs w:val="20"/>
        </w:rPr>
        <w:t xml:space="preserve">существующих территорий общего пользования, дворовых территорий»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850"/>
        <w:gridCol w:w="3402"/>
        <w:gridCol w:w="851"/>
        <w:gridCol w:w="850"/>
        <w:gridCol w:w="992"/>
        <w:gridCol w:w="993"/>
        <w:gridCol w:w="992"/>
      </w:tblGrid>
      <w:tr w:rsidR="00BA06FD" w:rsidRPr="00571F01" w:rsidTr="003024F5">
        <w:trPr>
          <w:trHeight w:val="894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571F01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Группа ценности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Деревья и кустарники</w:t>
            </w:r>
            <w:r w:rsidRPr="00571F01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 xml:space="preserve"> *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Характеристики 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высаживаемых деревьев и кустарников*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Виды посадок </w:t>
            </w:r>
          </w:p>
        </w:tc>
        <w:tc>
          <w:tcPr>
            <w:tcW w:w="1985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Рекомендуемые территории посадки*</w:t>
            </w:r>
          </w:p>
          <w:p w:rsidR="00BA06FD" w:rsidRPr="00571F01" w:rsidRDefault="00BA06FD" w:rsidP="00BA06F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«+» рекомендуется</w:t>
            </w:r>
          </w:p>
          <w:p w:rsidR="00BA06FD" w:rsidRPr="00571F01" w:rsidRDefault="00BA06FD" w:rsidP="00BA06F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«-» не рекомендуется</w:t>
            </w:r>
          </w:p>
        </w:tc>
      </w:tr>
      <w:tr w:rsidR="00BA06FD" w:rsidRPr="00571F01" w:rsidTr="003024F5">
        <w:trPr>
          <w:trHeight w:val="204"/>
        </w:trPr>
        <w:tc>
          <w:tcPr>
            <w:tcW w:w="284" w:type="dxa"/>
            <w:vMerge/>
          </w:tcPr>
          <w:p w:rsidR="00BA06FD" w:rsidRPr="00571F01" w:rsidRDefault="00BA06FD" w:rsidP="00BA06FD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BA06FD" w:rsidRPr="00571F01" w:rsidRDefault="00BA06FD" w:rsidP="00BA06FD">
            <w:pPr>
              <w:spacing w:line="240" w:lineRule="auto"/>
              <w:ind w:left="-107" w:right="-107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BA06FD" w:rsidRPr="00571F01" w:rsidRDefault="00BA06FD" w:rsidP="00BA06FD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Диаметр ствола(см)</w:t>
            </w:r>
          </w:p>
        </w:tc>
        <w:tc>
          <w:tcPr>
            <w:tcW w:w="850" w:type="dxa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Высота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06FD" w:rsidRPr="00571F01" w:rsidRDefault="00BA06FD" w:rsidP="00BA06FD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Дворовая территория</w:t>
            </w:r>
          </w:p>
        </w:tc>
        <w:tc>
          <w:tcPr>
            <w:tcW w:w="992" w:type="dxa"/>
          </w:tcPr>
          <w:p w:rsidR="00BA06FD" w:rsidRPr="00571F01" w:rsidRDefault="00BA06FD" w:rsidP="00BA06FD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Общественная территория</w:t>
            </w:r>
          </w:p>
        </w:tc>
      </w:tr>
      <w:tr w:rsidR="00BA06FD" w:rsidRPr="00571F01" w:rsidTr="003024F5">
        <w:trPr>
          <w:trHeight w:val="349"/>
        </w:trPr>
        <w:tc>
          <w:tcPr>
            <w:tcW w:w="9214" w:type="dxa"/>
            <w:gridSpan w:val="8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1F01">
              <w:rPr>
                <w:rFonts w:ascii="Times New Roman" w:hAnsi="Times New Roman"/>
                <w:i/>
                <w:iCs/>
                <w:sz w:val="18"/>
                <w:szCs w:val="18"/>
              </w:rPr>
              <w:t>Видовой состав деревьев и кустарников, подлежащий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</w:t>
            </w:r>
            <w:r w:rsidR="00571F01" w:rsidRPr="00571F01">
              <w:rPr>
                <w:rFonts w:ascii="Times New Roman" w:hAnsi="Times New Roman"/>
                <w:i/>
                <w:iCs/>
                <w:sz w:val="18"/>
                <w:szCs w:val="18"/>
              </w:rPr>
              <w:t>оживания, установлен в статье 27.1</w:t>
            </w:r>
            <w:r w:rsidRPr="00571F0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настоящих Правил</w:t>
            </w:r>
          </w:p>
        </w:tc>
      </w:tr>
      <w:tr w:rsidR="00BA06FD" w:rsidRPr="00571F01" w:rsidTr="003024F5">
        <w:trPr>
          <w:trHeight w:val="131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европейская (обыкновенная)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рощи; </w:t>
            </w:r>
          </w:p>
          <w:p w:rsidR="00BA06FD" w:rsidRPr="00571F01" w:rsidRDefault="00BA06FD" w:rsidP="00BA06FD">
            <w:pPr>
              <w:spacing w:after="0" w:line="240" w:lineRule="auto"/>
              <w:ind w:right="-24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рядовые посадки. 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3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Клен остролистный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массивы;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рощи;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группы;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солитеры; </w:t>
            </w:r>
          </w:p>
          <w:p w:rsidR="00BA06FD" w:rsidRPr="00571F01" w:rsidRDefault="00BA06FD" w:rsidP="00BA06FD">
            <w:pPr>
              <w:spacing w:after="0" w:line="240" w:lineRule="auto"/>
              <w:ind w:right="-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8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6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1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Каштан конский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аллеи;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рядовые посадки,</w:t>
            </w:r>
          </w:p>
          <w:p w:rsidR="00BA06FD" w:rsidRPr="00571F01" w:rsidRDefault="00BA06FD" w:rsidP="00BA06FD">
            <w:pPr>
              <w:spacing w:after="0" w:line="240" w:lineRule="auto"/>
              <w:ind w:right="-24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солитеры; </w:t>
            </w:r>
          </w:p>
          <w:p w:rsidR="00BA06FD" w:rsidRPr="00571F01" w:rsidRDefault="00BA06FD" w:rsidP="00BA06FD">
            <w:pPr>
              <w:spacing w:after="0" w:line="240" w:lineRule="auto"/>
              <w:ind w:right="-24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рядовые посадки.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203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84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Дуб красный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массивы;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рощи;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11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34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 мелколистная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рощи;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аллеи;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группы;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солитеры; 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04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 крупнолистная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84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Яблоня декоративная </w:t>
            </w:r>
          </w:p>
        </w:tc>
        <w:tc>
          <w:tcPr>
            <w:tcW w:w="1701" w:type="dxa"/>
            <w:gridSpan w:val="2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группы. 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28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Барбарис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саженец, стандарт низкорослый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куртины;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40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0,3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40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Дерен белый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саженец, стандарт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25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13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Сирень обыкновенная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саженец, стандарт высокорослый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29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1,1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Спирея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29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33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Кизильник блестящий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1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90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Лапчатка кустарниковая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низкорослый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0,3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Чубушник венечный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54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Пузыреплодник калинолистный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66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Жимолость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1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Можжевельник казацкий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</w:tcPr>
          <w:p w:rsidR="00BA06FD" w:rsidRPr="00571F01" w:rsidRDefault="00BA06FD" w:rsidP="00BA06FD">
            <w:pPr>
              <w:ind w:left="-106" w:right="-109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06FD" w:rsidRPr="00571F01" w:rsidRDefault="00BA06FD" w:rsidP="00BA06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A06FD" w:rsidRPr="00571F01" w:rsidRDefault="00BA06FD" w:rsidP="00BA06FD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A06FD" w:rsidRPr="00571F01" w:rsidRDefault="00BA06FD" w:rsidP="00BA06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6"/>
        </w:trPr>
        <w:tc>
          <w:tcPr>
            <w:tcW w:w="9214" w:type="dxa"/>
            <w:gridSpan w:val="8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u w:val="single"/>
              </w:rPr>
              <w:t>Примечание: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* виды (породы) деревьев и кустарников, их характеристики, виды посадок,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растений, характеристик почвы, микроклимата, освещенности, влажности, загазованности, других антропогенных факторов; посадка вредных инвазивных зеленых насаждений не допускается.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ямы и траншеи для посадки деревьев и кустарников в облиственном состоянии выкапывать заранее, чтобы не задерживать посадочных работ;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после выкопки ям и траншей стенки и дно выравнивают и зачищают, рядом складывают запас земли для засыпки корневой системы; траншеи под живую изгородь засыпают растительной землей на 3/4 объема, остальная земля </w:t>
            </w: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складируется рядом;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для посадки кустарников группами создается общий котлован, который заполняют растительной землей полностью с запасом на </w:t>
            </w:r>
            <w:r w:rsidR="004E4559">
              <w:rPr>
                <w:rFonts w:ascii="Times New Roman" w:hAnsi="Times New Roman"/>
                <w:sz w:val="18"/>
                <w:szCs w:val="18"/>
              </w:rPr>
              <w:t>п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осадку;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посадочный материал из питомников должен отвечать требованиям по качеству и параметрам, установленным национальными и государственными стандартами;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саженцы должны иметь симметричную крону, очищенную от сухих и поврежденных ветвей, прямой штамб (для деревьев),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болезнями; запрещается высаживать деревья и кустарники слабо развитые, в неудовлетворительном состоянии.</w:t>
            </w:r>
          </w:p>
        </w:tc>
      </w:tr>
    </w:tbl>
    <w:p w:rsidR="00BA06FD" w:rsidRPr="003024F5" w:rsidRDefault="00BA06FD" w:rsidP="00BA06FD">
      <w:pPr>
        <w:ind w:right="-709"/>
        <w:rPr>
          <w:rFonts w:ascii="Century Gothic" w:hAnsi="Century Gothic"/>
          <w:sz w:val="10"/>
          <w:szCs w:val="10"/>
        </w:rPr>
      </w:pPr>
    </w:p>
    <w:p w:rsidR="00BA06FD" w:rsidRPr="003024F5" w:rsidRDefault="00BA06FD" w:rsidP="00BA06FD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hAnsi="Times New Roman"/>
          <w:sz w:val="20"/>
          <w:szCs w:val="20"/>
        </w:rPr>
        <w:t>Таблица 4 «Основные расстояния при посадке, пересадке, вырубке деревьев и кустарников»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36"/>
        <w:gridCol w:w="6426"/>
        <w:gridCol w:w="1134"/>
        <w:gridCol w:w="1134"/>
      </w:tblGrid>
      <w:tr w:rsidR="00BA06FD" w:rsidRPr="004E4559" w:rsidTr="003024F5">
        <w:trPr>
          <w:trHeight w:val="336"/>
        </w:trPr>
        <w:tc>
          <w:tcPr>
            <w:tcW w:w="284" w:type="dxa"/>
            <w:vMerge w:val="restart"/>
            <w:vAlign w:val="center"/>
          </w:tcPr>
          <w:p w:rsidR="00BA06FD" w:rsidRPr="004E4559" w:rsidRDefault="00BA06FD" w:rsidP="00BA06FD">
            <w:pPr>
              <w:spacing w:after="0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Здание, строение, сооружение, </w:t>
            </w:r>
          </w:p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объект благоустройства, элемент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Минимальные расстояния от здания, строения, сооружения, объекта благоустройства, элемента благоустройства</w:t>
            </w:r>
          </w:p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до</w:t>
            </w:r>
          </w:p>
        </w:tc>
      </w:tr>
      <w:tr w:rsidR="00BA06FD" w:rsidRPr="004E4559" w:rsidTr="003024F5">
        <w:trPr>
          <w:trHeight w:val="45"/>
        </w:trPr>
        <w:tc>
          <w:tcPr>
            <w:tcW w:w="284" w:type="dxa"/>
            <w:vMerge/>
            <w:vAlign w:val="center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06FD" w:rsidRPr="004E4559" w:rsidRDefault="00BA06FD" w:rsidP="00BA06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ствола дерева</w:t>
            </w:r>
          </w:p>
          <w:p w:rsidR="00BA06FD" w:rsidRPr="004E4559" w:rsidRDefault="00BA06FD" w:rsidP="00BA06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1134" w:type="dxa"/>
            <w:vAlign w:val="center"/>
          </w:tcPr>
          <w:p w:rsidR="00BA06FD" w:rsidRPr="004E4559" w:rsidRDefault="00BA06FD" w:rsidP="00BA06FD">
            <w:pPr>
              <w:spacing w:after="0" w:line="240" w:lineRule="auto"/>
              <w:ind w:left="-106" w:right="-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кустарника</w:t>
            </w:r>
          </w:p>
          <w:p w:rsidR="00BA06FD" w:rsidRPr="004E4559" w:rsidRDefault="00BA06FD" w:rsidP="00BA06FD">
            <w:pPr>
              <w:spacing w:after="0" w:line="240" w:lineRule="auto"/>
              <w:ind w:left="-106" w:right="-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</w:tr>
      <w:tr w:rsidR="00BA06FD" w:rsidRPr="004E4559" w:rsidTr="003024F5">
        <w:trPr>
          <w:trHeight w:val="45"/>
        </w:trPr>
        <w:tc>
          <w:tcPr>
            <w:tcW w:w="9214" w:type="dxa"/>
            <w:gridSpan w:val="5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4E4559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E4559">
              <w:rPr>
                <w:rFonts w:ascii="Times New Roman" w:hAnsi="Times New Roman"/>
                <w:i/>
                <w:iCs/>
                <w:sz w:val="18"/>
                <w:szCs w:val="18"/>
              </w:rPr>
              <w:t>Основные расстояния для деревьев и кустарников, подлежащие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</w:t>
            </w:r>
            <w:r w:rsidR="004E4559">
              <w:rPr>
                <w:rFonts w:ascii="Times New Roman" w:hAnsi="Times New Roman"/>
                <w:i/>
                <w:iCs/>
                <w:sz w:val="18"/>
                <w:szCs w:val="18"/>
              </w:rPr>
              <w:t>оживания, установлен в статье 27.1</w:t>
            </w:r>
            <w:r w:rsidRPr="004E455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настоящих Правил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Наружная стена многоквартирного дома, объекта капитального строительства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Край тротуара, пешеходной дорожки, плоскостной автостоянки 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Край проезжей части улицы, обочины дороги, бровки канавы, кювета 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Край велосипедной дорожки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Опора системы наружного освещения, мостовая опора, эстакада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Подошва или внутренняя грань подпорной стенки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Подошва откоса, террасы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 w:val="restart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30" w:type="dxa"/>
            <w:gridSpan w:val="4"/>
          </w:tcPr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Подземные сети: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газопровод, канализация или водосток (безнапорные, напорные)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тепловая сеть (теплопровод от стенок канала)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водопровод, дренаж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43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силовой кабель, кабель слабого тока, в т.ч. кабель связи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BA06FD" w:rsidRPr="004E4559" w:rsidTr="003024F5">
        <w:trPr>
          <w:trHeight w:val="97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трубопровод горючих жидкостей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 w:val="restart"/>
          </w:tcPr>
          <w:p w:rsidR="00BA06FD" w:rsidRPr="004E4559" w:rsidRDefault="00BA06FD" w:rsidP="00BA06FD">
            <w:pPr>
              <w:spacing w:after="0"/>
              <w:ind w:left="-10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Провода воздушных линий электропередачи с напряжением (расстояния приведены согласно приказу Минэнерго России от 20.05.2003 № 187 «Об утверждении глав правил устройства электроустановок»):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кроны дерева</w:t>
            </w:r>
          </w:p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до 20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35-110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150-220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330-500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750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9214" w:type="dxa"/>
            <w:gridSpan w:val="5"/>
          </w:tcPr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E4559">
              <w:rPr>
                <w:rFonts w:ascii="Times New Roman" w:hAnsi="Times New Roman"/>
                <w:sz w:val="18"/>
                <w:szCs w:val="18"/>
                <w:u w:val="single"/>
              </w:rPr>
              <w:t>Примечание: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деревья, высаживаемые у зданий,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зданий.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барьеровне менее 500 мм;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при устройстве защитных прикорневых барьеров (не более чем с двух сторон от ствола) в зависимости от высоты кроны деревьев их высадку допускается проводить на расстоянии от инженерных сетей и бордюров улиц и дорог, м, не менее0,5 - для деревьев с высотой кроны менее 5 м; 1 - для деревьев с высотой кроны от 5 до 20 м.</w:t>
            </w:r>
          </w:p>
        </w:tc>
      </w:tr>
    </w:tbl>
    <w:p w:rsidR="00BA06FD" w:rsidRPr="003024F5" w:rsidRDefault="00BA06FD" w:rsidP="00BA06FD">
      <w:pPr>
        <w:spacing w:after="0"/>
        <w:ind w:right="-1"/>
        <w:rPr>
          <w:rFonts w:ascii="Times New Roman" w:hAnsi="Times New Roman"/>
          <w:sz w:val="20"/>
          <w:szCs w:val="20"/>
        </w:rPr>
      </w:pPr>
    </w:p>
    <w:p w:rsidR="00BA06FD" w:rsidRPr="003024F5" w:rsidRDefault="00BA06FD" w:rsidP="00BA06FD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hAnsi="Times New Roman"/>
          <w:sz w:val="20"/>
          <w:szCs w:val="20"/>
        </w:rPr>
        <w:t>Таблица 5 «Стандартные размеры ям и траншей для посадки деревьев и кустарниковдля учета при озеленениисуществующих территорий общего пользования, дворовых территорий»</w:t>
      </w:r>
    </w:p>
    <w:tbl>
      <w:tblPr>
        <w:tblW w:w="9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103"/>
        <w:gridCol w:w="1843"/>
        <w:gridCol w:w="1984"/>
        <w:gridCol w:w="8"/>
      </w:tblGrid>
      <w:tr w:rsidR="00BA06FD" w:rsidRPr="004E4559" w:rsidTr="003024F5">
        <w:trPr>
          <w:gridAfter w:val="1"/>
          <w:wAfter w:w="8" w:type="dxa"/>
          <w:trHeight w:val="336"/>
        </w:trPr>
        <w:tc>
          <w:tcPr>
            <w:tcW w:w="284" w:type="dxa"/>
            <w:vAlign w:val="center"/>
          </w:tcPr>
          <w:p w:rsidR="00BA06FD" w:rsidRPr="004E4559" w:rsidRDefault="00BA06FD" w:rsidP="00BA06FD">
            <w:pPr>
              <w:spacing w:after="0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510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Группа посадочного материала</w:t>
            </w: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 xml:space="preserve">Ком </w:t>
            </w:r>
          </w:p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(м)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Яма или траншея</w:t>
            </w:r>
          </w:p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(м)</w:t>
            </w:r>
          </w:p>
        </w:tc>
      </w:tr>
      <w:tr w:rsidR="00BA06FD" w:rsidRPr="004E4559" w:rsidTr="003024F5">
        <w:trPr>
          <w:gridAfter w:val="1"/>
          <w:wAfter w:w="8" w:type="dxa"/>
          <w:trHeight w:val="868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Деревья и кустарники с круглым комом земли</w:t>
            </w: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0,5; h = 0,4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0,8; h = 0,6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1,2; h = 0,8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1,6; h = 0,8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1; h = 0,65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1,3; h = 0,85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1,7; h = 1,15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2,1; h = 1,15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Деревья и кустарники с квадратным комом земли</w:t>
            </w: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0,5 x 0,5 x 0,4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0,8 x 0,8 x 0,5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1,0 x 1,0 x 0,6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1,3 x 1,3 x 0,6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1,5 x 1,5 x 0,65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1,7 x 1,7 x 0,65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1,4 x 1,4 x 0,65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1,7 x 1,7 x 0,75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1,9 x 1,9 x 0,85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2,2 x 2,2 x 0,85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2,4 x 2,4 x 0,9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2,6 x 2,6 x 0,9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 xml:space="preserve">Деревья лиственные с обнаженной корневой системой (без кома) при посадке в ямы </w:t>
            </w:r>
          </w:p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0,7; h = 0,7</w:t>
            </w: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Деревья лиственные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1,0; h = 0,8</w:t>
            </w: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0,5; h = 0,5</w:t>
            </w: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растительной земли</w:t>
            </w:r>
          </w:p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0,6 x 0,5</w:t>
            </w: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Кустарники с обнаженной корневой системой (без кома) при посадке в траншеи однорядную живую изгородь и вьющихся в траншеи двухрядную живую изгородь</w:t>
            </w: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0,7 x 0,5</w:t>
            </w:r>
          </w:p>
        </w:tc>
      </w:tr>
      <w:tr w:rsidR="00BA06FD" w:rsidRPr="004E4559" w:rsidTr="003024F5">
        <w:trPr>
          <w:trHeight w:val="279"/>
        </w:trPr>
        <w:tc>
          <w:tcPr>
            <w:tcW w:w="9222" w:type="dxa"/>
            <w:gridSpan w:val="5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E4559">
              <w:rPr>
                <w:rFonts w:ascii="Times New Roman" w:hAnsi="Times New Roman"/>
                <w:sz w:val="18"/>
                <w:szCs w:val="18"/>
                <w:u w:val="single"/>
              </w:rPr>
              <w:t>Примечание: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После выкопки ям и траншей стенки и дно выравнивают и зачищают, рядом складывают запас либо плодородного слоя почвы, имевшегося на объекте, либо многокомпонентного искусственного почвогрунта заводского изготовления для засыпки корневой системы. 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Траншеи под живую изгородь засыпают плодородным слоем или многокомпонентным искусственным почвогрунтом заводского изготовления на 3/4 объема, остальная часть складируется рядом. 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многокомпонентным искусственным почвогрунтом заводского изготовления полностью с запасом на осадку. 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 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В случае посадки деревьев на запечатанных воздухо- и водонепроницаемыми покрытиями местах размер ее незапечатанной поверхности должен быть не менее 2,0 x 2,0 м.</w:t>
            </w:r>
          </w:p>
        </w:tc>
      </w:tr>
    </w:tbl>
    <w:p w:rsidR="00BA06FD" w:rsidRPr="00E405BD" w:rsidRDefault="00BA06FD" w:rsidP="00BA0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4559" w:rsidRPr="004E4559" w:rsidRDefault="004E4559" w:rsidP="004E45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559">
        <w:rPr>
          <w:rFonts w:ascii="Times New Roman" w:eastAsia="Times New Roman" w:hAnsi="Times New Roman"/>
          <w:b/>
          <w:sz w:val="24"/>
          <w:szCs w:val="24"/>
          <w:lang w:eastAsia="ru-RU"/>
        </w:rPr>
        <w:t>4. статью 40 «Крышное и вертикальное озеленение» изложить в следующей редакции:</w:t>
      </w:r>
    </w:p>
    <w:p w:rsidR="004E4559" w:rsidRDefault="004E4559" w:rsidP="004E455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D51CA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D5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D51CA">
        <w:rPr>
          <w:rFonts w:ascii="Times New Roman" w:eastAsia="Times New Roman" w:hAnsi="Times New Roman"/>
          <w:sz w:val="24"/>
          <w:szCs w:val="24"/>
          <w:lang w:eastAsia="ru-RU"/>
        </w:rPr>
        <w:t xml:space="preserve"> «Крышное и вертикальное озеленение»</w:t>
      </w:r>
    </w:p>
    <w:p w:rsidR="004E4559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CA">
        <w:rPr>
          <w:rFonts w:ascii="Times New Roman" w:hAnsi="Times New Roman"/>
          <w:sz w:val="24"/>
          <w:szCs w:val="24"/>
        </w:rPr>
        <w:t xml:space="preserve">1. 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малоуклонной (уклон не более 3%) крышей.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2.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прочности, устойчивости и деформативности существующих несущих конструкций.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lastRenderedPageBreak/>
        <w:t xml:space="preserve"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подтверждается технико-экономическим обоснованием.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3. 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менее 5 м) плоскости наружных стен без проемов. Высота вертикального озеленения ограничивается тремя этажами.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4.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 </w:t>
      </w:r>
    </w:p>
    <w:p w:rsidR="004E4559" w:rsidRPr="00490766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 xml:space="preserve">5. Крышное и вертикальное озеленение не включается в компенсационное озеленение. </w:t>
      </w:r>
    </w:p>
    <w:p w:rsidR="004E4559" w:rsidRPr="00490766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 xml:space="preserve">6. При строительстве допускается размещение площадок озеленения на крышах многоквартирных домов, которые учитываются при расчете показателей минимальной обеспеченности объектами и элементами благоустройства только в случаях, если: </w:t>
      </w:r>
    </w:p>
    <w:p w:rsidR="004E4559" w:rsidRPr="00490766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 xml:space="preserve">крыша планируется для преимущественного и неограниченного пользования всеми жителями многоквартирного дома (группы домов), в том числе маломобильными группами населения; </w:t>
      </w:r>
    </w:p>
    <w:p w:rsidR="004E4559" w:rsidRPr="00490766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 xml:space="preserve">планируется благоустройство крыши подземного объекта капитального строительства (его подземной части).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>7. При проектировании</w:t>
      </w:r>
      <w:r w:rsidRPr="00AD51CA">
        <w:rPr>
          <w:rFonts w:ascii="Times New Roman" w:hAnsi="Times New Roman"/>
          <w:sz w:val="24"/>
          <w:szCs w:val="24"/>
        </w:rPr>
        <w:t xml:space="preserve"> крышного и вертикального озеленения предусматриваются: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объектов капитального строительства, на которых размещены указанные виды озеленения.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8.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При размещении таких конструкций необходимо учитывать обеспечение наличия воздушного зазора между растениями и фасадом. Величина воздушного зазора зависит от вида используемых растений, но не менее 20 см.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9.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>10. 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сетчатое металлическое ограждение.</w:t>
      </w:r>
      <w:r>
        <w:rPr>
          <w:rFonts w:ascii="Times New Roman" w:hAnsi="Times New Roman"/>
          <w:sz w:val="24"/>
          <w:szCs w:val="24"/>
        </w:rPr>
        <w:t>»;</w:t>
      </w:r>
    </w:p>
    <w:p w:rsidR="00BA06FD" w:rsidRDefault="00BA06FD" w:rsidP="00C10BAF">
      <w:pPr>
        <w:spacing w:after="0" w:line="360" w:lineRule="auto"/>
        <w:ind w:firstLine="539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BD2247" w:rsidRPr="00BD2247" w:rsidRDefault="009D3FD7" w:rsidP="00BD22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247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ab/>
      </w:r>
      <w:r w:rsidR="00BD2247">
        <w:rPr>
          <w:rFonts w:ascii="Times New Roman" w:hAnsi="Times New Roman"/>
          <w:b/>
          <w:bCs/>
          <w:kern w:val="24"/>
          <w:sz w:val="24"/>
          <w:szCs w:val="24"/>
        </w:rPr>
        <w:t xml:space="preserve">5. </w:t>
      </w:r>
      <w:r w:rsidR="00BD2247" w:rsidRPr="00BD224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44 «Ввод в эксплуатацию детских, игровых, спортивных (физкультурно-оздоровительных) площадок и их содержание» изложить в следующей редакции:</w:t>
      </w:r>
    </w:p>
    <w:p w:rsidR="00BD2247" w:rsidRPr="00BD2247" w:rsidRDefault="00BD2247" w:rsidP="00BD22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«Статья </w:t>
      </w:r>
      <w:r>
        <w:rPr>
          <w:rFonts w:ascii="Times New Roman" w:hAnsi="Times New Roman"/>
          <w:sz w:val="24"/>
          <w:szCs w:val="24"/>
        </w:rPr>
        <w:t>44</w:t>
      </w:r>
      <w:r w:rsidRPr="00BD2247">
        <w:rPr>
          <w:rFonts w:ascii="Times New Roman" w:hAnsi="Times New Roman"/>
          <w:sz w:val="24"/>
          <w:szCs w:val="24"/>
        </w:rPr>
        <w:t xml:space="preserve">. Ввод в эксплуатацию детских, игровых, спортивных (физкультурно-оздоровительных) площадок и их содержание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1. 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администрацией </w:t>
      </w:r>
      <w:r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содержания территорий Московской области (далее - ГУСТ Московской области).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 осуществляет контроль за ходом производства работ по установке (монтажу) оборудования.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4. При вводе оборудования площадки в эксплуатацию присутствуют представители </w:t>
      </w:r>
      <w:r>
        <w:rPr>
          <w:rFonts w:ascii="Times New Roman" w:hAnsi="Times New Roman"/>
          <w:sz w:val="24"/>
          <w:szCs w:val="24"/>
        </w:rPr>
        <w:t>администрации 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, составляется акт ввода в эксплуатацию объекта. Копия акта направляется в ГУСТ Московской области.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5. Площадка вносится органом местного самоуправления </w:t>
      </w:r>
      <w:r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 в Реестр детских, игровых, спортивных (физкультурно-оздоровительных) площадок </w:t>
      </w:r>
      <w:r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ГУСТ Московской области.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8. Оборудование площадки, установленное после 2013 года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9.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 Законом.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10.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lastRenderedPageBreak/>
        <w:t xml:space="preserve">11. В случае,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12. Территория площадки и прилегающая территория ежедневно очищаются от загрязнений и посторонних предметов. Своевременно производится обрезка деревьев, кустарника и скос травы.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13. 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но не реже одного раза в сутки.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14.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15. На площадке и прилегающей к ней территории не должно быть загрязнений или посторонних предметов, о которые можно споткнуться и/или получить травму.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16. Лицо, эксплуатирующее площадку, должно в течение суток представлять в ГУСТ Московской области и в </w:t>
      </w:r>
      <w:r>
        <w:rPr>
          <w:rFonts w:ascii="Times New Roman" w:hAnsi="Times New Roman"/>
          <w:sz w:val="24"/>
          <w:szCs w:val="24"/>
        </w:rPr>
        <w:t>администрацию 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 информацию о травмах (несчастных случаях), полученных на площадке.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17. Контроль за техническим состоянием оборудования площадок включает: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а) первичный осмотр и проверку оборудования перед вводом в эксплуатацию;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г) основной осмотр - представляет собой осмотр для целей оценки соответствия технического состояния оборудования требованиям безопасности.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18. Периодичность регулярного визуального осмотра устанавливает собственник на основе учета условий эксплуатации.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Визуальный осмотр оборудования площадок, подвергающихся интенсивному использованию, проводится ежедневно.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19.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20. Основной осмотр проводится раз в год.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lastRenderedPageBreak/>
        <w:t xml:space="preserve">21.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22.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После удаления оборудования оставшийся в земле фундамент также удаляют или огораживают способом, исключающим возможность получения травм.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23.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24. Вся эксплуатационная документация (паспорт, акт осмотра и проверки, графики осмотров, журнал и т.п.) подлежит постоянному хранению.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25.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смазку подшипников; восстановление ударопоглощающих покрытий из сыпучих материалов и корректировку их уровня.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>26.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оборудования.»</w:t>
      </w:r>
    </w:p>
    <w:p w:rsidR="00BD2247" w:rsidRDefault="00BD2247" w:rsidP="009D3FD7">
      <w:pPr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D3FD7" w:rsidRPr="009D3FD7" w:rsidRDefault="00BD2247" w:rsidP="009D3F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ab/>
        <w:t>6</w:t>
      </w:r>
      <w:r w:rsidR="009D3FD7" w:rsidRPr="009D3FD7">
        <w:rPr>
          <w:rFonts w:ascii="Times New Roman" w:hAnsi="Times New Roman"/>
          <w:b/>
          <w:bCs/>
          <w:kern w:val="24"/>
          <w:sz w:val="24"/>
          <w:szCs w:val="24"/>
        </w:rPr>
        <w:t>.</w:t>
      </w:r>
      <w:r w:rsidR="009D3FD7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D3FD7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стать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9D3FD7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44.1</w:t>
      </w:r>
      <w:r w:rsidR="009D3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3FD7" w:rsidRPr="009D3FD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D3FD7" w:rsidRPr="009D3FD7">
        <w:rPr>
          <w:rFonts w:ascii="Times New Roman" w:hAnsi="Times New Roman"/>
          <w:b/>
          <w:sz w:val="24"/>
          <w:szCs w:val="24"/>
        </w:rPr>
        <w:t>Требования к внешнему виду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Талдомского городского округа</w:t>
      </w:r>
      <w:r w:rsidR="009D3FD7" w:rsidRPr="009D3FD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D3FD7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исключить слова</w:t>
      </w:r>
      <w:r w:rsidR="009D3FD7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виду того что он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9D3FD7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утратил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9D3FD7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силу, а именно: слова «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на автовокзалах, железнодорожных и речных вокзалах, портах;</w:t>
      </w:r>
      <w:r w:rsidR="009D3FD7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096F20" w:rsidRPr="00096F20" w:rsidRDefault="00BD2247" w:rsidP="009D3F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7</w:t>
      </w:r>
      <w:r w:rsidR="00A1529C" w:rsidRPr="008E0AFE">
        <w:rPr>
          <w:rFonts w:ascii="Times New Roman" w:hAnsi="Times New Roman"/>
          <w:b/>
          <w:sz w:val="24"/>
          <w:szCs w:val="24"/>
        </w:rPr>
        <w:t>.</w:t>
      </w:r>
      <w:r w:rsidR="00096F20" w:rsidRPr="00096F20">
        <w:rPr>
          <w:rFonts w:ascii="Times New Roman" w:hAnsi="Times New Roman"/>
          <w:sz w:val="24"/>
          <w:szCs w:val="24"/>
        </w:rPr>
        <w:t xml:space="preserve"> </w:t>
      </w:r>
      <w:r w:rsidR="009D3FD7">
        <w:rPr>
          <w:rFonts w:ascii="Times New Roman" w:hAnsi="Times New Roman"/>
          <w:b/>
          <w:sz w:val="24"/>
          <w:szCs w:val="24"/>
        </w:rPr>
        <w:t>Д</w:t>
      </w:r>
      <w:r w:rsidR="00096F20" w:rsidRPr="00A03A16">
        <w:rPr>
          <w:rFonts w:ascii="Times New Roman" w:hAnsi="Times New Roman"/>
          <w:b/>
          <w:sz w:val="24"/>
          <w:szCs w:val="24"/>
        </w:rPr>
        <w:t xml:space="preserve">ополнить статьей </w:t>
      </w:r>
      <w:r w:rsidR="007A5D1D" w:rsidRPr="00A03A16">
        <w:rPr>
          <w:rFonts w:ascii="Times New Roman" w:hAnsi="Times New Roman"/>
          <w:b/>
          <w:sz w:val="24"/>
          <w:szCs w:val="24"/>
        </w:rPr>
        <w:t>50.1</w:t>
      </w:r>
      <w:r w:rsidR="00096F20">
        <w:rPr>
          <w:rFonts w:ascii="Times New Roman" w:hAnsi="Times New Roman"/>
          <w:sz w:val="24"/>
          <w:szCs w:val="24"/>
        </w:rPr>
        <w:t xml:space="preserve"> </w:t>
      </w:r>
      <w:r w:rsidR="00096F20" w:rsidRPr="00EC0211">
        <w:rPr>
          <w:rFonts w:ascii="Times New Roman" w:hAnsi="Times New Roman"/>
          <w:b/>
          <w:sz w:val="24"/>
          <w:szCs w:val="24"/>
        </w:rPr>
        <w:t>«Требования к проведению мероприятий</w:t>
      </w:r>
      <w:r w:rsidR="00F43ECE" w:rsidRPr="00EC0211">
        <w:rPr>
          <w:rFonts w:ascii="Times New Roman" w:hAnsi="Times New Roman"/>
          <w:b/>
          <w:sz w:val="24"/>
          <w:szCs w:val="24"/>
        </w:rPr>
        <w:br/>
      </w:r>
      <w:r w:rsidR="00096F20" w:rsidRPr="00EC0211">
        <w:rPr>
          <w:rFonts w:ascii="Times New Roman" w:hAnsi="Times New Roman"/>
          <w:b/>
          <w:sz w:val="24"/>
          <w:szCs w:val="24"/>
        </w:rPr>
        <w:t xml:space="preserve">по удалению с земельных участков борщевика Сосновского» </w:t>
      </w:r>
      <w:r w:rsidR="00096F20" w:rsidRPr="00096F20">
        <w:rPr>
          <w:rFonts w:ascii="Times New Roman" w:hAnsi="Times New Roman"/>
          <w:sz w:val="24"/>
          <w:szCs w:val="24"/>
        </w:rPr>
        <w:t>следующего содержания:</w:t>
      </w:r>
    </w:p>
    <w:p w:rsidR="00096F20" w:rsidRPr="00096F20" w:rsidRDefault="00D502E8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6F20" w:rsidRPr="00096F20">
        <w:rPr>
          <w:rFonts w:ascii="Times New Roman" w:hAnsi="Times New Roman"/>
          <w:sz w:val="24"/>
          <w:szCs w:val="24"/>
        </w:rPr>
        <w:t xml:space="preserve">Статья </w:t>
      </w:r>
      <w:r w:rsidR="007A5D1D">
        <w:rPr>
          <w:rFonts w:ascii="Times New Roman" w:hAnsi="Times New Roman"/>
          <w:sz w:val="24"/>
          <w:szCs w:val="24"/>
        </w:rPr>
        <w:t>50.1</w:t>
      </w:r>
      <w:r w:rsidR="00096F20" w:rsidRPr="00096F20">
        <w:rPr>
          <w:rFonts w:ascii="Times New Roman" w:hAnsi="Times New Roman"/>
          <w:sz w:val="24"/>
          <w:szCs w:val="24"/>
        </w:rPr>
        <w:t xml:space="preserve"> Требования к проведению мероприятий по удалению с земельных участков борщевика Сосновского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1. Правообладатели земельных участков обязаны проводить мероприятия</w:t>
      </w:r>
      <w:r w:rsidR="00F43ECE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Pr="00096F20">
        <w:rPr>
          <w:rFonts w:ascii="Times New Roman" w:hAnsi="Times New Roman"/>
          <w:sz w:val="24"/>
          <w:szCs w:val="24"/>
        </w:rPr>
        <w:t>по удалению борщевика Сосновского с земельных участков, находящихся в их собственности, владении или пользовании.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lastRenderedPageBreak/>
        <w:t>Мероприятия по удалению борщевика Сосновского с земельных участков и земель, государственная собственность на которые не разграничена, осуществля</w:t>
      </w:r>
      <w:r>
        <w:rPr>
          <w:rFonts w:ascii="Times New Roman" w:hAnsi="Times New Roman"/>
          <w:sz w:val="24"/>
          <w:szCs w:val="24"/>
        </w:rPr>
        <w:t>ет</w:t>
      </w:r>
      <w:r w:rsidR="008E0AFE">
        <w:rPr>
          <w:rFonts w:ascii="Times New Roman" w:hAnsi="Times New Roman"/>
          <w:sz w:val="24"/>
          <w:szCs w:val="24"/>
        </w:rPr>
        <w:t xml:space="preserve"> администрация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>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2. Мероприятия по удалению с земельных участков борщевика Сосновского проводятся следующими способами: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1) химическим - опрыскивание очагов (участков) произрастания борщевика Сосновского гербицидами и (или) арборицидами;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2) механическим - скашивание и удаление окошенных частей борщевика Сосновского, выкапывание корневой системы борщевика Сосновского;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3) агротехническим - обработка почвы, посев многолетних трав.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3. В случае не</w:t>
      </w:r>
      <w:r w:rsidR="00A03A16">
        <w:rPr>
          <w:rFonts w:ascii="Times New Roman" w:hAnsi="Times New Roman"/>
          <w:sz w:val="24"/>
          <w:szCs w:val="24"/>
        </w:rPr>
        <w:t xml:space="preserve"> </w:t>
      </w:r>
      <w:r w:rsidRPr="00096F20">
        <w:rPr>
          <w:rFonts w:ascii="Times New Roman" w:hAnsi="Times New Roman"/>
          <w:sz w:val="24"/>
          <w:szCs w:val="24"/>
        </w:rPr>
        <w:t>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 орган (должностное лицо) муниципального земельного контроля в срок не более трех рабочих дней после установления факта не</w:t>
      </w:r>
      <w:r w:rsidR="00A03A16">
        <w:rPr>
          <w:rFonts w:ascii="Times New Roman" w:hAnsi="Times New Roman"/>
          <w:sz w:val="24"/>
          <w:szCs w:val="24"/>
        </w:rPr>
        <w:t xml:space="preserve"> </w:t>
      </w:r>
      <w:r w:rsidRPr="00096F20">
        <w:rPr>
          <w:rFonts w:ascii="Times New Roman" w:hAnsi="Times New Roman"/>
          <w:sz w:val="24"/>
          <w:szCs w:val="24"/>
        </w:rPr>
        <w:t xml:space="preserve">устранения выявленных нарушений информирует </w:t>
      </w:r>
      <w:r w:rsidR="008E0AFE">
        <w:rPr>
          <w:rFonts w:ascii="Times New Roman" w:hAnsi="Times New Roman"/>
          <w:sz w:val="24"/>
          <w:szCs w:val="24"/>
        </w:rPr>
        <w:t xml:space="preserve">администрацию Талдомского городского округа </w:t>
      </w:r>
      <w:r w:rsidRPr="00096F20">
        <w:rPr>
          <w:rFonts w:ascii="Times New Roman" w:hAnsi="Times New Roman"/>
          <w:sz w:val="24"/>
          <w:szCs w:val="24"/>
        </w:rPr>
        <w:t>о необходимости принятия решения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4. </w:t>
      </w:r>
      <w:r w:rsidR="008E0AFE">
        <w:rPr>
          <w:rFonts w:ascii="Times New Roman" w:hAnsi="Times New Roman"/>
          <w:sz w:val="24"/>
          <w:szCs w:val="24"/>
        </w:rPr>
        <w:t>Администрация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в срок не более пяти рабочих дней после получения от органов (должностных лиц) муниципального земельного контроля информации, предусмотренной пунктом 3 настоящей статьи, принимает решение о проведении на земельном участке мероприятий по удалению борщевика Сосновского за счет средств бюджета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5. Указанное решение</w:t>
      </w:r>
      <w:r w:rsidR="008E0AFE">
        <w:rPr>
          <w:rFonts w:ascii="Times New Roman" w:hAnsi="Times New Roman"/>
          <w:sz w:val="24"/>
          <w:szCs w:val="24"/>
        </w:rPr>
        <w:t xml:space="preserve"> администрации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>,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обеспечивающим подтверждение его получения.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6. Правообладатели земельных участков, в отношении которых проведены мероприятия по удалению с земельных участков борщевика Сосновского за счет средств бюджета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области, обязаны возместить расходы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7. Уведомление о завершении мероприятий, в том числе содержащее информацию о сметной стоимости выполненных мероприятий и реквизиты лицевого счета </w:t>
      </w:r>
      <w:r w:rsidR="008E0AFE">
        <w:rPr>
          <w:rFonts w:ascii="Times New Roman" w:hAnsi="Times New Roman"/>
          <w:sz w:val="24"/>
          <w:szCs w:val="24"/>
        </w:rPr>
        <w:t>администрации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, выдается (направляется) </w:t>
      </w:r>
      <w:r w:rsidRPr="00096F20">
        <w:rPr>
          <w:rFonts w:ascii="Times New Roman" w:hAnsi="Times New Roman"/>
          <w:sz w:val="24"/>
          <w:szCs w:val="24"/>
        </w:rPr>
        <w:lastRenderedPageBreak/>
        <w:t>правообладателю земельного участка способом, обеспечивающим подтверждение его получения.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8. В случае если в установленный срок средства не были перечислены правообладателем земельного участка, </w:t>
      </w:r>
      <w:r w:rsidR="008E0AFE">
        <w:rPr>
          <w:rFonts w:ascii="Times New Roman" w:hAnsi="Times New Roman"/>
          <w:sz w:val="24"/>
          <w:szCs w:val="24"/>
        </w:rPr>
        <w:t>администрация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9. Расчет понесенных </w:t>
      </w:r>
      <w:r w:rsidR="008E0AFE">
        <w:rPr>
          <w:rFonts w:ascii="Times New Roman" w:hAnsi="Times New Roman"/>
          <w:sz w:val="24"/>
          <w:szCs w:val="24"/>
        </w:rPr>
        <w:t>администрацией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расходов по удалению с земельного участка борщевика Сосновского за счет средств бюджета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 определяется утверждаемой </w:t>
      </w:r>
      <w:r w:rsidR="008E0AFE">
        <w:rPr>
          <w:rFonts w:ascii="Times New Roman" w:hAnsi="Times New Roman"/>
          <w:sz w:val="24"/>
          <w:szCs w:val="24"/>
        </w:rPr>
        <w:t xml:space="preserve">администрацией Талдомского городского округа </w:t>
      </w:r>
      <w:r w:rsidR="00D502E8">
        <w:rPr>
          <w:rFonts w:ascii="Times New Roman" w:hAnsi="Times New Roman"/>
          <w:sz w:val="24"/>
          <w:szCs w:val="24"/>
        </w:rPr>
        <w:t>методикой.».</w:t>
      </w:r>
    </w:p>
    <w:p w:rsidR="008E0AFE" w:rsidRPr="00096F20" w:rsidRDefault="008E0AFE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2247" w:rsidRPr="00BD2247" w:rsidRDefault="00BD2247" w:rsidP="00BD22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502E8" w:rsidRPr="007A5D1D">
        <w:rPr>
          <w:rFonts w:ascii="Times New Roman" w:hAnsi="Times New Roman"/>
          <w:b/>
          <w:sz w:val="24"/>
          <w:szCs w:val="24"/>
        </w:rPr>
        <w:t>.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Pr="00BD224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55 «Нормы и правила по содержанию мест общественного пользования и территории юридических лиц (индивидуальных предпринимателей) или физических лиц» изложить в следующей редакции:</w:t>
      </w:r>
    </w:p>
    <w:p w:rsid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B42A25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55</w:t>
      </w:r>
      <w:r w:rsidRPr="00B42A25">
        <w:rPr>
          <w:rFonts w:ascii="Times New Roman" w:hAnsi="Times New Roman"/>
          <w:sz w:val="24"/>
          <w:szCs w:val="24"/>
        </w:rPr>
        <w:t xml:space="preserve">. Нормы и правила по содержанию мест общественного пользования и территории юридических лиц (индивидуальных предпринимателей) или физических лиц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1. Юридические лица (индивидуальные предприниматели), осуществляющие свою деятельность на территории Московской области,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Федерации, правилами благоустройства территории муниципальных образований, регламентом содержания объектов благоустройства Московской области.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2. Границы благоустройства 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также прилегающей территории, установленной правилами благоустройства территории муниципального образования в соответствии с требованиями настоящего Закона.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3. Содержание территорий муниципальных образований Московской области обеспечивается органами местного самоуправления в соответствии с законодательством Российской Федерации, законодательством Московской области, правилами благоустройства территории муниципальных образований, регламентом содержания объектов благоустройства Московской области посредством: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закупки товаров, работ, услуг для обеспечения муниципальных нужд;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формирования и выдачи муниципального задания на оказание услуг (выполнения работ);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возмещения юридическим лицам затрат в связи с выполнением работ, оказанием услуг, на основании соответствующих договоров.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lastRenderedPageBreak/>
        <w:t xml:space="preserve">4. Дворовые территории, внутридворовые проезды и тротуары, места массового посещения на территории муниципальных образований ежедневно подметаются и очищаются от загрязнений.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6.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7.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9. </w:t>
      </w:r>
      <w:r w:rsidRPr="00B42A25">
        <w:rPr>
          <w:rFonts w:ascii="Times New Roman" w:hAnsi="Times New Roman"/>
          <w:color w:val="70AD47" w:themeColor="accent6"/>
          <w:sz w:val="24"/>
          <w:szCs w:val="24"/>
        </w:rPr>
        <w:t xml:space="preserve">Упавшие деревья и кустарники, их части (ветви, стволы, корни), должны быть удалены с проезжей части улиц и дорог, внутриквартальных и внутридворовых проездов, тротуаров и пешеходных дорожек, от токонесущих проводов, площадок автостоянок, детских и спортивных площадок, фасадов жилых, общественных и производственных зданий, в течение суток с момента обнаружения.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 w:rsidRPr="00B42A25">
        <w:rPr>
          <w:rFonts w:ascii="Times New Roman" w:hAnsi="Times New Roman"/>
          <w:color w:val="70AD47" w:themeColor="accent6"/>
          <w:sz w:val="24"/>
          <w:szCs w:val="24"/>
        </w:rPr>
        <w:t xml:space="preserve">Усохшие или поврежденные, представляющие угрозу для безопасности деревья и кустарники, а также пни, оставшиеся от спиленных и упавших деревьев, должны быть удалены в течение недели с момента их обнаружения, а до их удаления должны быть приняты меры, направленные на ограничение доступа людей в опасную зону.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 w:rsidRPr="00B42A25">
        <w:rPr>
          <w:rFonts w:ascii="Times New Roman" w:hAnsi="Times New Roman"/>
          <w:color w:val="70AD47" w:themeColor="accent6"/>
          <w:sz w:val="24"/>
          <w:szCs w:val="24"/>
        </w:rPr>
        <w:t xml:space="preserve">Пни, расположенные вдоль фасадов зданий, строений, сооружений, ограждений, подземных сооружений и линейных объектов, площадок, тротуаров, пешеходных коммуникаций, объектов инфраструктуры для велосипедного движения, беговых дорожек, опор систем наружного освещения и средств размещения информации, элементов благоустройства могут удаляться путем их спиливания в уровень с землей и формированием гладкой поверхности среза в случае, если корчевание таких пней может нарушить целостность конструктивных частей зданий, сооружений, объектов благоустройства и их элементов.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 w:rsidRPr="00B42A25">
        <w:rPr>
          <w:rFonts w:ascii="Times New Roman" w:hAnsi="Times New Roman"/>
          <w:color w:val="70AD47" w:themeColor="accent6"/>
          <w:sz w:val="24"/>
          <w:szCs w:val="24"/>
        </w:rPr>
        <w:t xml:space="preserve">В садово-парковых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 w:rsidRPr="00B42A25">
        <w:rPr>
          <w:rFonts w:ascii="Times New Roman" w:hAnsi="Times New Roman"/>
          <w:color w:val="70AD47" w:themeColor="accent6"/>
          <w:sz w:val="24"/>
          <w:szCs w:val="24"/>
        </w:rPr>
        <w:t xml:space="preserve">Не допускается касание ветвями деревьев токонесущих проводов, закрывание ими указателей улиц и номерных знаков домов, дорожных знаков, объектов (средств) наружного освещения.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10. Юридические и физические лица должны соблюдать чистоту и поддерживать порядок на всей территории Московской области.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11. Запрещается: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lastRenderedPageBreak/>
        <w:t xml:space="preserve">а) мойка транспортных средств, слив топлива, масел, технических жидкостей вне специально отведенных мест;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б) размещение автотранспортных средств на детских </w:t>
      </w:r>
      <w:r w:rsidRPr="00B42A25">
        <w:rPr>
          <w:rFonts w:ascii="Times New Roman" w:hAnsi="Times New Roman"/>
          <w:color w:val="70AD47" w:themeColor="accent6"/>
          <w:sz w:val="24"/>
          <w:szCs w:val="24"/>
        </w:rPr>
        <w:t>игровых</w:t>
      </w:r>
      <w:r w:rsidRPr="00B42A25">
        <w:rPr>
          <w:rFonts w:ascii="Times New Roman" w:hAnsi="Times New Roman"/>
          <w:sz w:val="24"/>
          <w:szCs w:val="24"/>
        </w:rPr>
        <w:t xml:space="preserve">, игровых, спортивных площадках, газонах, цветниках, зеленых насаждениях, а также вне специальных площадок, оборудованных для их размещения;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 w:rsidRPr="00B42A25">
        <w:rPr>
          <w:rFonts w:ascii="Times New Roman" w:hAnsi="Times New Roman"/>
          <w:color w:val="70AD47" w:themeColor="accent6"/>
          <w:sz w:val="24"/>
          <w:szCs w:val="24"/>
        </w:rPr>
        <w:t xml:space="preserve">в) самовольное размещение (возведение, создание) на землях или земельных участках, находящихся в государственной или муниципальной собственности, объектов, перечень видов которых установлен </w:t>
      </w:r>
      <w:hyperlink r:id="rId9" w:history="1">
        <w:r w:rsidRPr="00B42A25">
          <w:rPr>
            <w:rStyle w:val="a4"/>
            <w:rFonts w:ascii="Times New Roman" w:hAnsi="Times New Roman"/>
            <w:color w:val="70AD47" w:themeColor="accent6"/>
            <w:sz w:val="24"/>
            <w:szCs w:val="24"/>
          </w:rPr>
          <w:t>постановлением</w:t>
        </w:r>
      </w:hyperlink>
      <w:r w:rsidRPr="00B42A25">
        <w:rPr>
          <w:rFonts w:ascii="Times New Roman" w:hAnsi="Times New Roman"/>
          <w:color w:val="70AD47" w:themeColor="accent6"/>
          <w:sz w:val="24"/>
          <w:szCs w:val="24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гаражей, являющихся некапитальными сооружениями, нестационарных торговых объектов, хозяйственных построек (сараи, бани, теплицы, навесы, погреба, колодцы и другие сооружения и постройки), иных зданий, строений, сооружений, ограждений без получения на размещение (возведение, создание) указанных объектов необходимых в силу законодательства Российской Федерации и законодательства Московской области согласований, разрешений;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органами местного самоуправления.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д) перевозка сыпучих грузов (уголь, песок, камни природные, галька, гравий, щебень, известняк, керамзит и т.п.), грунта (глина, земля, торф и т.п.), спила деревьев без покрытия тентом, исключающим загрязнение дорог, улиц и прилегающих к ним территорий;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 w:rsidRPr="00B42A25">
        <w:rPr>
          <w:rFonts w:ascii="Times New Roman" w:hAnsi="Times New Roman"/>
          <w:color w:val="70AD47" w:themeColor="accent6"/>
          <w:sz w:val="24"/>
          <w:szCs w:val="24"/>
        </w:rPr>
        <w:t xml:space="preserve">е) установка ограждений, ограждающих устройств и элементов, включая шлагбаумы, цепи, стационарные парковочные барьеры, в том числе каменные, бетонные, металлические, пластиковые полусферы, болларды, ограничители в виде устройств для оформления озеленения на улицах, дорогах, проездах, тротуарах общего пользования, препятствующих или ограничивающих проход пешеходов и проезд автотранспорта при отсутствии согласования с органами местного самоуправления;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 w:rsidRPr="00B42A25">
        <w:rPr>
          <w:rFonts w:ascii="Times New Roman" w:hAnsi="Times New Roman"/>
          <w:color w:val="70AD47" w:themeColor="accent6"/>
          <w:sz w:val="24"/>
          <w:szCs w:val="24"/>
        </w:rPr>
        <w:t xml:space="preserve">ж) установка бетонных блоков и плит, препятствующих или ограничивающих проход пешеходов и проезд автотранспорта в местах общественного пользования (за исключением бетонных блоков, применяемых для инвентарных (строительных) ограждений).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12. Подъездные пути к рынкам, торговым и развлекательным центрам, иным объектам торговли и сферы услуг должны иметь твердое покрытие.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42A25">
        <w:rPr>
          <w:rFonts w:ascii="Times New Roman" w:hAnsi="Times New Roman"/>
          <w:sz w:val="24"/>
          <w:szCs w:val="24"/>
        </w:rPr>
        <w:t xml:space="preserve">. В случае выявления органами местного самоуправления на территории муниципального образования земельных участков, принадлежащих юридическим лицам (индивидуальным предпринимателям) или физическим лицам (далее - собственники), и прилегающих к этим участкам территорий, содержащихся с нарушением обязательных требований, установленных правилами благоустройства муниципального образования, </w:t>
      </w:r>
      <w:r w:rsidRPr="00B42A25">
        <w:rPr>
          <w:rFonts w:ascii="Times New Roman" w:hAnsi="Times New Roman"/>
          <w:sz w:val="24"/>
          <w:szCs w:val="24"/>
        </w:rPr>
        <w:lastRenderedPageBreak/>
        <w:t xml:space="preserve">орган местного самоуправления информирует о выявленных нарушениях уполномоченный орган.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орган местного самоуправления о результатах проведенной проверки.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В случае неисполнения предписания уполномоченного органа в установленный предписанием срок органы местного самоуправления принимают решение о проведении на указанных территориях уборочных работ за счет средств бюджета муниципального образования. Указанное решение органов местного самоуправления, содержащее информацию о сметной стоимости работ, подлежит согласованию с собственниками указанных земельных участков.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Собственники земельных участков, уборочные работы на которых произведены за счет средств бюджета муниципального образования,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(далее - 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 органа местного самоуправления, выдается собственнику земельного участка способом, обеспечивающим подтверждение его получения.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В случае если в установленный срок средства не были перечислены собственником земельного участка,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муниципального образования Московской области.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42A25">
        <w:rPr>
          <w:rFonts w:ascii="Times New Roman" w:hAnsi="Times New Roman"/>
          <w:sz w:val="24"/>
          <w:szCs w:val="24"/>
        </w:rPr>
        <w:t xml:space="preserve">. Юридические лица (индивидуальные предприниматели), осуществляющие свою деятельность на территории Московской области,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Московской области,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 (далее - Порядок обращения с отходами строительства и сноса).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Процедура, порядок выдачи и форма разрешения на перемещение отходов строительства, сноса зданий и сооружений, в том числе грунтов, устанавливаются </w:t>
      </w:r>
      <w:r w:rsidRPr="00B42A25">
        <w:rPr>
          <w:rFonts w:ascii="Times New Roman" w:hAnsi="Times New Roman"/>
          <w:sz w:val="24"/>
          <w:szCs w:val="24"/>
        </w:rPr>
        <w:lastRenderedPageBreak/>
        <w:t xml:space="preserve">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42A25">
        <w:rPr>
          <w:rFonts w:ascii="Times New Roman" w:hAnsi="Times New Roman"/>
          <w:sz w:val="24"/>
          <w:szCs w:val="24"/>
        </w:rPr>
        <w:t xml:space="preserve">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 м;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наличия неустранимых металлических элементов, выступающих из бортового камня.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</w:t>
      </w:r>
      <w:r>
        <w:rPr>
          <w:rFonts w:ascii="Times New Roman" w:hAnsi="Times New Roman"/>
          <w:sz w:val="24"/>
          <w:szCs w:val="24"/>
        </w:rPr>
        <w:t>».</w:t>
      </w:r>
    </w:p>
    <w:p w:rsid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5D1D" w:rsidRDefault="007A5D1D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02E8" w:rsidRDefault="00D51932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502E8" w:rsidRPr="007A5D1D">
        <w:rPr>
          <w:rFonts w:ascii="Times New Roman" w:hAnsi="Times New Roman"/>
          <w:b/>
          <w:sz w:val="24"/>
          <w:szCs w:val="24"/>
        </w:rPr>
        <w:t>.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="00D502E8" w:rsidRPr="00A03A16">
        <w:rPr>
          <w:rFonts w:ascii="Times New Roman" w:hAnsi="Times New Roman"/>
          <w:b/>
          <w:sz w:val="24"/>
          <w:szCs w:val="24"/>
        </w:rPr>
        <w:t>Статью</w:t>
      </w:r>
      <w:r w:rsidR="007A5D1D" w:rsidRPr="00A03A16">
        <w:rPr>
          <w:rFonts w:ascii="Times New Roman" w:hAnsi="Times New Roman"/>
          <w:b/>
          <w:sz w:val="24"/>
          <w:szCs w:val="24"/>
        </w:rPr>
        <w:t xml:space="preserve"> </w:t>
      </w:r>
      <w:r w:rsidR="007A5D1D" w:rsidRPr="00EC0211">
        <w:rPr>
          <w:rFonts w:ascii="Times New Roman" w:hAnsi="Times New Roman"/>
          <w:b/>
          <w:sz w:val="24"/>
          <w:szCs w:val="24"/>
        </w:rPr>
        <w:t xml:space="preserve">65 </w:t>
      </w:r>
      <w:r w:rsidR="00D502E8" w:rsidRPr="00EC0211">
        <w:rPr>
          <w:rFonts w:ascii="Times New Roman" w:hAnsi="Times New Roman"/>
          <w:b/>
          <w:sz w:val="24"/>
          <w:szCs w:val="24"/>
        </w:rPr>
        <w:t>«Правила выгула домашних животных»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="00D502E8" w:rsidRPr="00A03A16">
        <w:rPr>
          <w:rFonts w:ascii="Times New Roman" w:hAnsi="Times New Roman"/>
          <w:b/>
          <w:sz w:val="24"/>
          <w:szCs w:val="24"/>
        </w:rPr>
        <w:t>признать утратившей силу</w:t>
      </w:r>
      <w:r w:rsidR="00D502E8">
        <w:rPr>
          <w:rFonts w:ascii="Times New Roman" w:hAnsi="Times New Roman"/>
          <w:sz w:val="24"/>
          <w:szCs w:val="24"/>
        </w:rPr>
        <w:t>.</w:t>
      </w:r>
    </w:p>
    <w:p w:rsidR="007A5D1D" w:rsidRDefault="007A5D1D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211" w:rsidRPr="00012020" w:rsidRDefault="00D51932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EC0211" w:rsidRPr="007A5D1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C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211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EC0211" w:rsidRPr="00A03A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ополнить статьей </w:t>
      </w:r>
      <w:r w:rsidR="00EC0211">
        <w:rPr>
          <w:rFonts w:ascii="Times New Roman" w:eastAsia="Times New Roman" w:hAnsi="Times New Roman"/>
          <w:b/>
          <w:sz w:val="24"/>
          <w:szCs w:val="24"/>
          <w:lang w:eastAsia="ru-RU"/>
        </w:rPr>
        <w:t>69.1</w:t>
      </w:r>
      <w:r w:rsidR="00EC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211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«Функции уполномоченного органа, оказывающего содействие в проведении мероприятий по удалению с земельных участков борщевика Сосновского»</w:t>
      </w:r>
      <w:r w:rsidR="00EC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211" w:rsidRPr="00012020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 w:rsidR="007C627D">
        <w:rPr>
          <w:rFonts w:ascii="Times New Roman" w:eastAsia="Times New Roman" w:hAnsi="Times New Roman"/>
          <w:sz w:val="24"/>
          <w:szCs w:val="24"/>
          <w:lang w:eastAsia="ru-RU"/>
        </w:rPr>
        <w:t>69.1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Функции уполномоченного органа, оказывающего содействие в проведении мероприятий по удалению с земельных участков борщевика Сосновского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орган, оказывающий содействие в проведении мероприятий по удалению с земельных участков борщевика Сосновского, осуществляет следующие полномочия: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мониторинг очагов (участков) произрастания борщевика Сосновского и/или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удаленных окошенных частей борщевика Сосновского и/или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 xml:space="preserve">выкопанной корневой системы борщевика Сосновского)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Талдомского городского округа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области;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администрацией Талдомского городского округа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информации о земельных участках, правообладателями которых не проведены мероприятия по удалению борщевика Сосновского с земельного участка, для проведения уполномоченными контрольными органами контрольных мероприятий;</w:t>
      </w:r>
    </w:p>
    <w:p w:rsidR="00EC0211" w:rsidRPr="00EC0211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утверждение методических рекомендаций по оценке результатов мероприятий, направленных на удаление с земельных участков борщевика Сосновского.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11" w:rsidRDefault="00EC0211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6824" w:rsidRPr="007D4DDB" w:rsidRDefault="00D51932" w:rsidP="00E068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стать</w:t>
      </w:r>
      <w:r w:rsidR="007D4DD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  <w:r w:rsidR="00E068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06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06824"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Полномочия органов местного самоуправления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исключить абзац </w:t>
      </w:r>
      <w:r w:rsidR="007D4DDB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>22 в виду того что он утратил силу, а именно: слова «определяют места для выгула домашних животных;».</w:t>
      </w:r>
    </w:p>
    <w:p w:rsidR="00E06824" w:rsidRPr="00096F20" w:rsidRDefault="00E06824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211" w:rsidRPr="007D4DDB" w:rsidRDefault="00D51932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EC0211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. Пункт б) части 1 статьи 72</w:t>
      </w:r>
      <w:r w:rsidR="00EC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211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«Финансовое обеспечение» изложить в следующей редакции:</w:t>
      </w:r>
      <w:r w:rsid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C0211" w:rsidRPr="00552E8A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подпунктах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-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Правил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>, осуществляется собственниками (правообладателями) за счет собственных средств, а в случаях организации органами местного самоуправления благоустройства территорий общего пользования, в том числе общественных территорий (пространств), объектов инфраструктуры для велосипедного движения, в целях решения вопросов местного значения и при наличии решения межведомственной комиссии, образованной постановлением Губернатора Московской области, об одобрении организации благоустройства указанных объектов, осуществляется органами местного самоуправления в соответствии с настоящим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Правилами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бюджетных ассигнований, предусмотренных в местных бюджетах, при условии:</w:t>
      </w:r>
    </w:p>
    <w:p w:rsidR="00EC0211" w:rsidRPr="00552E8A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объектов, указанных в подпункте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Правил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>, в ограниченное пользование органам местного самоуправления путем установления сервитута для нужд органов местного самоуправления, связанных с решением вопросов местного значения;</w:t>
      </w:r>
    </w:p>
    <w:p w:rsidR="00EC0211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объектов, указанных в подпунктах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Закона, органам местного самоуправления или подведомственным им учреждениям на вещных правах.</w:t>
      </w:r>
    </w:p>
    <w:p w:rsidR="00A877F0" w:rsidRPr="00747D3C" w:rsidRDefault="00A877F0" w:rsidP="0001202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877F0" w:rsidRPr="00747D3C" w:rsidSect="00856D2F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89" w:rsidRDefault="00180289" w:rsidP="00856D2F">
      <w:pPr>
        <w:spacing w:after="0" w:line="240" w:lineRule="auto"/>
      </w:pPr>
      <w:r>
        <w:separator/>
      </w:r>
    </w:p>
  </w:endnote>
  <w:endnote w:type="continuationSeparator" w:id="1">
    <w:p w:rsidR="00180289" w:rsidRDefault="00180289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89" w:rsidRDefault="00180289" w:rsidP="00856D2F">
      <w:pPr>
        <w:spacing w:after="0" w:line="240" w:lineRule="auto"/>
      </w:pPr>
      <w:r>
        <w:separator/>
      </w:r>
    </w:p>
  </w:footnote>
  <w:footnote w:type="continuationSeparator" w:id="1">
    <w:p w:rsidR="00180289" w:rsidRDefault="00180289" w:rsidP="008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FD" w:rsidRDefault="00BA06FD">
    <w:pPr>
      <w:pStyle w:val="aa"/>
      <w:jc w:val="center"/>
    </w:pPr>
    <w:fldSimple w:instr="PAGE   \* MERGEFORMAT">
      <w:r>
        <w:rPr>
          <w:noProof/>
        </w:rPr>
        <w:t>33</w:t>
      </w:r>
    </w:fldSimple>
  </w:p>
  <w:p w:rsidR="00BA06FD" w:rsidRDefault="00BA06F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FD" w:rsidRDefault="00BA06FD">
    <w:pPr>
      <w:pStyle w:val="aa"/>
      <w:jc w:val="center"/>
    </w:pPr>
    <w:fldSimple w:instr="PAGE   \* MERGEFORMAT">
      <w:r w:rsidR="00D51932">
        <w:rPr>
          <w:noProof/>
        </w:rPr>
        <w:t>19</w:t>
      </w:r>
    </w:fldSimple>
  </w:p>
  <w:p w:rsidR="00BA06FD" w:rsidRDefault="00BA06F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654"/>
    <w:multiLevelType w:val="hybridMultilevel"/>
    <w:tmpl w:val="36FE164C"/>
    <w:lvl w:ilvl="0" w:tplc="51129C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57962"/>
    <w:multiLevelType w:val="hybridMultilevel"/>
    <w:tmpl w:val="210AC966"/>
    <w:lvl w:ilvl="0" w:tplc="9F726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39D272C"/>
    <w:multiLevelType w:val="hybridMultilevel"/>
    <w:tmpl w:val="F006CA40"/>
    <w:lvl w:ilvl="0" w:tplc="4872C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14E"/>
    <w:rsid w:val="00001458"/>
    <w:rsid w:val="00001D1E"/>
    <w:rsid w:val="00001D72"/>
    <w:rsid w:val="000033B1"/>
    <w:rsid w:val="000105B5"/>
    <w:rsid w:val="00012020"/>
    <w:rsid w:val="000122BB"/>
    <w:rsid w:val="00013BC1"/>
    <w:rsid w:val="000205DD"/>
    <w:rsid w:val="00020FED"/>
    <w:rsid w:val="00022F9E"/>
    <w:rsid w:val="0002408F"/>
    <w:rsid w:val="00027777"/>
    <w:rsid w:val="0003204C"/>
    <w:rsid w:val="0003256B"/>
    <w:rsid w:val="00036E04"/>
    <w:rsid w:val="000370D2"/>
    <w:rsid w:val="0004101E"/>
    <w:rsid w:val="000435CB"/>
    <w:rsid w:val="00046204"/>
    <w:rsid w:val="00053079"/>
    <w:rsid w:val="0006569D"/>
    <w:rsid w:val="00066F2B"/>
    <w:rsid w:val="00067673"/>
    <w:rsid w:val="00070323"/>
    <w:rsid w:val="00076A5A"/>
    <w:rsid w:val="0008213F"/>
    <w:rsid w:val="00083071"/>
    <w:rsid w:val="00085FD8"/>
    <w:rsid w:val="00095E63"/>
    <w:rsid w:val="00096F20"/>
    <w:rsid w:val="000A1443"/>
    <w:rsid w:val="000B4E82"/>
    <w:rsid w:val="000C09FF"/>
    <w:rsid w:val="000C4642"/>
    <w:rsid w:val="000C55BB"/>
    <w:rsid w:val="000D666C"/>
    <w:rsid w:val="000E2B55"/>
    <w:rsid w:val="000E5AD6"/>
    <w:rsid w:val="00101DD4"/>
    <w:rsid w:val="00102FB1"/>
    <w:rsid w:val="00104A44"/>
    <w:rsid w:val="001050BC"/>
    <w:rsid w:val="0011084B"/>
    <w:rsid w:val="001159FC"/>
    <w:rsid w:val="00115EBE"/>
    <w:rsid w:val="00115F61"/>
    <w:rsid w:val="001165B4"/>
    <w:rsid w:val="0012158D"/>
    <w:rsid w:val="00131339"/>
    <w:rsid w:val="00150A0A"/>
    <w:rsid w:val="00155038"/>
    <w:rsid w:val="00157553"/>
    <w:rsid w:val="001608BA"/>
    <w:rsid w:val="001617EE"/>
    <w:rsid w:val="00166968"/>
    <w:rsid w:val="00170BDF"/>
    <w:rsid w:val="00180289"/>
    <w:rsid w:val="00180590"/>
    <w:rsid w:val="001809E5"/>
    <w:rsid w:val="001A055E"/>
    <w:rsid w:val="001A1C59"/>
    <w:rsid w:val="001A434F"/>
    <w:rsid w:val="001B153B"/>
    <w:rsid w:val="001B5D36"/>
    <w:rsid w:val="001C12A6"/>
    <w:rsid w:val="001C225B"/>
    <w:rsid w:val="001C2DDD"/>
    <w:rsid w:val="001D3B67"/>
    <w:rsid w:val="001D5090"/>
    <w:rsid w:val="001D69D3"/>
    <w:rsid w:val="001D77AA"/>
    <w:rsid w:val="001E1104"/>
    <w:rsid w:val="001E4F4B"/>
    <w:rsid w:val="001F093F"/>
    <w:rsid w:val="001F475E"/>
    <w:rsid w:val="00213222"/>
    <w:rsid w:val="00234608"/>
    <w:rsid w:val="002368F1"/>
    <w:rsid w:val="0023717B"/>
    <w:rsid w:val="00255C9E"/>
    <w:rsid w:val="0027179E"/>
    <w:rsid w:val="002755FD"/>
    <w:rsid w:val="00275C1D"/>
    <w:rsid w:val="0027669D"/>
    <w:rsid w:val="00280ACD"/>
    <w:rsid w:val="002840B7"/>
    <w:rsid w:val="00284672"/>
    <w:rsid w:val="00285E6F"/>
    <w:rsid w:val="00287878"/>
    <w:rsid w:val="00295757"/>
    <w:rsid w:val="002A16E5"/>
    <w:rsid w:val="002A458E"/>
    <w:rsid w:val="002B4004"/>
    <w:rsid w:val="002B5BD5"/>
    <w:rsid w:val="002C3499"/>
    <w:rsid w:val="002D00E8"/>
    <w:rsid w:val="002D279C"/>
    <w:rsid w:val="002D30BF"/>
    <w:rsid w:val="002E7942"/>
    <w:rsid w:val="002F000E"/>
    <w:rsid w:val="003024F5"/>
    <w:rsid w:val="00306D3D"/>
    <w:rsid w:val="00310569"/>
    <w:rsid w:val="003122A3"/>
    <w:rsid w:val="003217FC"/>
    <w:rsid w:val="00323718"/>
    <w:rsid w:val="00334341"/>
    <w:rsid w:val="00337409"/>
    <w:rsid w:val="00343A8E"/>
    <w:rsid w:val="0035287D"/>
    <w:rsid w:val="003633DD"/>
    <w:rsid w:val="00366409"/>
    <w:rsid w:val="00372B3B"/>
    <w:rsid w:val="0038043F"/>
    <w:rsid w:val="0038241F"/>
    <w:rsid w:val="00383BBF"/>
    <w:rsid w:val="00385DB8"/>
    <w:rsid w:val="003957BE"/>
    <w:rsid w:val="00395D05"/>
    <w:rsid w:val="003A5AF3"/>
    <w:rsid w:val="003B1670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E3264"/>
    <w:rsid w:val="003E49E6"/>
    <w:rsid w:val="003F3C88"/>
    <w:rsid w:val="00400C56"/>
    <w:rsid w:val="00405E86"/>
    <w:rsid w:val="0041658B"/>
    <w:rsid w:val="00422C6D"/>
    <w:rsid w:val="00423C51"/>
    <w:rsid w:val="00426176"/>
    <w:rsid w:val="00435C2E"/>
    <w:rsid w:val="00441E0C"/>
    <w:rsid w:val="004438E2"/>
    <w:rsid w:val="00444394"/>
    <w:rsid w:val="00446D59"/>
    <w:rsid w:val="00447200"/>
    <w:rsid w:val="00450A30"/>
    <w:rsid w:val="0045561B"/>
    <w:rsid w:val="004617CE"/>
    <w:rsid w:val="00463936"/>
    <w:rsid w:val="0046504A"/>
    <w:rsid w:val="00475547"/>
    <w:rsid w:val="004905C0"/>
    <w:rsid w:val="00490766"/>
    <w:rsid w:val="004B1464"/>
    <w:rsid w:val="004B2FAB"/>
    <w:rsid w:val="004D16C0"/>
    <w:rsid w:val="004E4559"/>
    <w:rsid w:val="004E6DBA"/>
    <w:rsid w:val="004F607B"/>
    <w:rsid w:val="004F6275"/>
    <w:rsid w:val="00501096"/>
    <w:rsid w:val="00501E0E"/>
    <w:rsid w:val="00523F3D"/>
    <w:rsid w:val="00524A8F"/>
    <w:rsid w:val="0052576B"/>
    <w:rsid w:val="005317B2"/>
    <w:rsid w:val="00551FF6"/>
    <w:rsid w:val="00552CBD"/>
    <w:rsid w:val="00552E84"/>
    <w:rsid w:val="00563FE9"/>
    <w:rsid w:val="00571F01"/>
    <w:rsid w:val="005734F4"/>
    <w:rsid w:val="00574B9C"/>
    <w:rsid w:val="00581CAA"/>
    <w:rsid w:val="00592331"/>
    <w:rsid w:val="00592529"/>
    <w:rsid w:val="005A1FB2"/>
    <w:rsid w:val="005A5045"/>
    <w:rsid w:val="005A5A1D"/>
    <w:rsid w:val="005B256B"/>
    <w:rsid w:val="005B6D50"/>
    <w:rsid w:val="005B7EE1"/>
    <w:rsid w:val="005C2D01"/>
    <w:rsid w:val="005C3429"/>
    <w:rsid w:val="005D3507"/>
    <w:rsid w:val="005D60D7"/>
    <w:rsid w:val="005F3313"/>
    <w:rsid w:val="005F3952"/>
    <w:rsid w:val="00612EED"/>
    <w:rsid w:val="0061537A"/>
    <w:rsid w:val="006228B5"/>
    <w:rsid w:val="0063021E"/>
    <w:rsid w:val="00630660"/>
    <w:rsid w:val="00633A53"/>
    <w:rsid w:val="006341DB"/>
    <w:rsid w:val="00636A3F"/>
    <w:rsid w:val="00636D3F"/>
    <w:rsid w:val="006444A4"/>
    <w:rsid w:val="0064594B"/>
    <w:rsid w:val="00646C40"/>
    <w:rsid w:val="00655377"/>
    <w:rsid w:val="00660432"/>
    <w:rsid w:val="006651E1"/>
    <w:rsid w:val="00672D4F"/>
    <w:rsid w:val="006746CC"/>
    <w:rsid w:val="006747A4"/>
    <w:rsid w:val="00674D00"/>
    <w:rsid w:val="006905DF"/>
    <w:rsid w:val="00692445"/>
    <w:rsid w:val="00693582"/>
    <w:rsid w:val="006A3BCD"/>
    <w:rsid w:val="006A54E0"/>
    <w:rsid w:val="006A58EF"/>
    <w:rsid w:val="006A630D"/>
    <w:rsid w:val="006B0559"/>
    <w:rsid w:val="006B1581"/>
    <w:rsid w:val="006B4A37"/>
    <w:rsid w:val="006B5F2C"/>
    <w:rsid w:val="006C23EC"/>
    <w:rsid w:val="006D31D3"/>
    <w:rsid w:val="006E2E50"/>
    <w:rsid w:val="006E3362"/>
    <w:rsid w:val="006E3808"/>
    <w:rsid w:val="006E3938"/>
    <w:rsid w:val="006E4963"/>
    <w:rsid w:val="006F42A5"/>
    <w:rsid w:val="006F4EF7"/>
    <w:rsid w:val="00700055"/>
    <w:rsid w:val="0071114B"/>
    <w:rsid w:val="00711E83"/>
    <w:rsid w:val="00721205"/>
    <w:rsid w:val="007263A0"/>
    <w:rsid w:val="00726E6A"/>
    <w:rsid w:val="007313A4"/>
    <w:rsid w:val="00735162"/>
    <w:rsid w:val="00735FFF"/>
    <w:rsid w:val="00746E71"/>
    <w:rsid w:val="00747D3C"/>
    <w:rsid w:val="00750B2C"/>
    <w:rsid w:val="00752838"/>
    <w:rsid w:val="00761829"/>
    <w:rsid w:val="007650BD"/>
    <w:rsid w:val="007763D7"/>
    <w:rsid w:val="007805A4"/>
    <w:rsid w:val="00784416"/>
    <w:rsid w:val="007947E7"/>
    <w:rsid w:val="00795B73"/>
    <w:rsid w:val="00796EBB"/>
    <w:rsid w:val="007A0D0D"/>
    <w:rsid w:val="007A3622"/>
    <w:rsid w:val="007A3A8C"/>
    <w:rsid w:val="007A5454"/>
    <w:rsid w:val="007A5D1D"/>
    <w:rsid w:val="007C4421"/>
    <w:rsid w:val="007C627D"/>
    <w:rsid w:val="007D114A"/>
    <w:rsid w:val="007D4DDB"/>
    <w:rsid w:val="007D7459"/>
    <w:rsid w:val="007D783A"/>
    <w:rsid w:val="007E2122"/>
    <w:rsid w:val="007F1889"/>
    <w:rsid w:val="007F2FAC"/>
    <w:rsid w:val="00804534"/>
    <w:rsid w:val="00806FED"/>
    <w:rsid w:val="00815AF6"/>
    <w:rsid w:val="00816F0A"/>
    <w:rsid w:val="00834D3B"/>
    <w:rsid w:val="0083582B"/>
    <w:rsid w:val="00836C85"/>
    <w:rsid w:val="00841C1F"/>
    <w:rsid w:val="00852851"/>
    <w:rsid w:val="00856D2F"/>
    <w:rsid w:val="0086728C"/>
    <w:rsid w:val="0087113F"/>
    <w:rsid w:val="00871CF2"/>
    <w:rsid w:val="008836DD"/>
    <w:rsid w:val="00883967"/>
    <w:rsid w:val="00891255"/>
    <w:rsid w:val="008968E9"/>
    <w:rsid w:val="00896A94"/>
    <w:rsid w:val="008A7B80"/>
    <w:rsid w:val="008B06C6"/>
    <w:rsid w:val="008B6F3D"/>
    <w:rsid w:val="008B7752"/>
    <w:rsid w:val="008C2474"/>
    <w:rsid w:val="008E0AFE"/>
    <w:rsid w:val="008F65EA"/>
    <w:rsid w:val="00900488"/>
    <w:rsid w:val="00900FC7"/>
    <w:rsid w:val="00904A42"/>
    <w:rsid w:val="00906A24"/>
    <w:rsid w:val="009108A7"/>
    <w:rsid w:val="00921D90"/>
    <w:rsid w:val="00925637"/>
    <w:rsid w:val="0093661B"/>
    <w:rsid w:val="00936CB4"/>
    <w:rsid w:val="00937176"/>
    <w:rsid w:val="00941490"/>
    <w:rsid w:val="00942A88"/>
    <w:rsid w:val="00945D97"/>
    <w:rsid w:val="009621A0"/>
    <w:rsid w:val="00964125"/>
    <w:rsid w:val="00964F21"/>
    <w:rsid w:val="009744B2"/>
    <w:rsid w:val="009800C1"/>
    <w:rsid w:val="009815A6"/>
    <w:rsid w:val="00983225"/>
    <w:rsid w:val="0098409E"/>
    <w:rsid w:val="00990417"/>
    <w:rsid w:val="009A078B"/>
    <w:rsid w:val="009A1E45"/>
    <w:rsid w:val="009B5D1A"/>
    <w:rsid w:val="009C03DF"/>
    <w:rsid w:val="009C6F66"/>
    <w:rsid w:val="009D2F4D"/>
    <w:rsid w:val="009D3FD7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7CDF"/>
    <w:rsid w:val="00A019C8"/>
    <w:rsid w:val="00A03A16"/>
    <w:rsid w:val="00A0614E"/>
    <w:rsid w:val="00A07175"/>
    <w:rsid w:val="00A108F7"/>
    <w:rsid w:val="00A1529C"/>
    <w:rsid w:val="00A408A1"/>
    <w:rsid w:val="00A40C5E"/>
    <w:rsid w:val="00A43620"/>
    <w:rsid w:val="00A45DBF"/>
    <w:rsid w:val="00A47161"/>
    <w:rsid w:val="00A6032E"/>
    <w:rsid w:val="00A60DC8"/>
    <w:rsid w:val="00A655D6"/>
    <w:rsid w:val="00A6682C"/>
    <w:rsid w:val="00A82188"/>
    <w:rsid w:val="00A877F0"/>
    <w:rsid w:val="00A93C2F"/>
    <w:rsid w:val="00A9713C"/>
    <w:rsid w:val="00AA7CE2"/>
    <w:rsid w:val="00AB3FAF"/>
    <w:rsid w:val="00AB66E5"/>
    <w:rsid w:val="00AC48CA"/>
    <w:rsid w:val="00AD1FAF"/>
    <w:rsid w:val="00AD3C3A"/>
    <w:rsid w:val="00AD56CC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77A7"/>
    <w:rsid w:val="00B41F7E"/>
    <w:rsid w:val="00B47F11"/>
    <w:rsid w:val="00B51183"/>
    <w:rsid w:val="00B55E8A"/>
    <w:rsid w:val="00B64471"/>
    <w:rsid w:val="00B6711B"/>
    <w:rsid w:val="00B74BFB"/>
    <w:rsid w:val="00B842E6"/>
    <w:rsid w:val="00B84E9A"/>
    <w:rsid w:val="00B91B51"/>
    <w:rsid w:val="00BA06FD"/>
    <w:rsid w:val="00BB5D8D"/>
    <w:rsid w:val="00BB6C2A"/>
    <w:rsid w:val="00BD2247"/>
    <w:rsid w:val="00BD75FB"/>
    <w:rsid w:val="00BE6093"/>
    <w:rsid w:val="00BE7766"/>
    <w:rsid w:val="00BF04B4"/>
    <w:rsid w:val="00BF1525"/>
    <w:rsid w:val="00BF4137"/>
    <w:rsid w:val="00C017DF"/>
    <w:rsid w:val="00C0569F"/>
    <w:rsid w:val="00C10BAF"/>
    <w:rsid w:val="00C12147"/>
    <w:rsid w:val="00C1314A"/>
    <w:rsid w:val="00C136C7"/>
    <w:rsid w:val="00C14B5D"/>
    <w:rsid w:val="00C16E61"/>
    <w:rsid w:val="00C23209"/>
    <w:rsid w:val="00C24A6C"/>
    <w:rsid w:val="00C253FF"/>
    <w:rsid w:val="00C26ABB"/>
    <w:rsid w:val="00C357AC"/>
    <w:rsid w:val="00C36E28"/>
    <w:rsid w:val="00C46877"/>
    <w:rsid w:val="00C47A85"/>
    <w:rsid w:val="00C550EF"/>
    <w:rsid w:val="00C611E5"/>
    <w:rsid w:val="00C62706"/>
    <w:rsid w:val="00C737AB"/>
    <w:rsid w:val="00C81D32"/>
    <w:rsid w:val="00C825C6"/>
    <w:rsid w:val="00C82B50"/>
    <w:rsid w:val="00C8714C"/>
    <w:rsid w:val="00C95F13"/>
    <w:rsid w:val="00CA1FFE"/>
    <w:rsid w:val="00CA5619"/>
    <w:rsid w:val="00CA7BBF"/>
    <w:rsid w:val="00CB3B3B"/>
    <w:rsid w:val="00CB6019"/>
    <w:rsid w:val="00CC0315"/>
    <w:rsid w:val="00CC27EF"/>
    <w:rsid w:val="00CD16A8"/>
    <w:rsid w:val="00CD2099"/>
    <w:rsid w:val="00CD2DDD"/>
    <w:rsid w:val="00CD7211"/>
    <w:rsid w:val="00CD7A09"/>
    <w:rsid w:val="00CE234A"/>
    <w:rsid w:val="00CE5DFB"/>
    <w:rsid w:val="00CF533F"/>
    <w:rsid w:val="00D06FB2"/>
    <w:rsid w:val="00D07D00"/>
    <w:rsid w:val="00D25BBC"/>
    <w:rsid w:val="00D37455"/>
    <w:rsid w:val="00D45B56"/>
    <w:rsid w:val="00D4672E"/>
    <w:rsid w:val="00D46D8C"/>
    <w:rsid w:val="00D502E8"/>
    <w:rsid w:val="00D51932"/>
    <w:rsid w:val="00D524AA"/>
    <w:rsid w:val="00D55667"/>
    <w:rsid w:val="00D55A6B"/>
    <w:rsid w:val="00D7195A"/>
    <w:rsid w:val="00D77E65"/>
    <w:rsid w:val="00D85D50"/>
    <w:rsid w:val="00D85E02"/>
    <w:rsid w:val="00D873B1"/>
    <w:rsid w:val="00D96927"/>
    <w:rsid w:val="00DA1898"/>
    <w:rsid w:val="00DA60DF"/>
    <w:rsid w:val="00DB7973"/>
    <w:rsid w:val="00DC5037"/>
    <w:rsid w:val="00DD0592"/>
    <w:rsid w:val="00DE0113"/>
    <w:rsid w:val="00DE275F"/>
    <w:rsid w:val="00DE3C4E"/>
    <w:rsid w:val="00DF1BB9"/>
    <w:rsid w:val="00E02323"/>
    <w:rsid w:val="00E038FD"/>
    <w:rsid w:val="00E06824"/>
    <w:rsid w:val="00E129FE"/>
    <w:rsid w:val="00E134B4"/>
    <w:rsid w:val="00E166CE"/>
    <w:rsid w:val="00E20442"/>
    <w:rsid w:val="00E22A3E"/>
    <w:rsid w:val="00E27153"/>
    <w:rsid w:val="00E31E8A"/>
    <w:rsid w:val="00E35008"/>
    <w:rsid w:val="00E36E5B"/>
    <w:rsid w:val="00E41520"/>
    <w:rsid w:val="00E41B62"/>
    <w:rsid w:val="00E438AB"/>
    <w:rsid w:val="00E6418A"/>
    <w:rsid w:val="00E66909"/>
    <w:rsid w:val="00E71F59"/>
    <w:rsid w:val="00E742C8"/>
    <w:rsid w:val="00E74963"/>
    <w:rsid w:val="00E804F2"/>
    <w:rsid w:val="00E811E2"/>
    <w:rsid w:val="00E8664E"/>
    <w:rsid w:val="00E91763"/>
    <w:rsid w:val="00EA0076"/>
    <w:rsid w:val="00EA53F2"/>
    <w:rsid w:val="00EC0211"/>
    <w:rsid w:val="00EC69D6"/>
    <w:rsid w:val="00EC70BB"/>
    <w:rsid w:val="00EC7E0D"/>
    <w:rsid w:val="00ED0884"/>
    <w:rsid w:val="00ED23DE"/>
    <w:rsid w:val="00ED3BF4"/>
    <w:rsid w:val="00ED3C8A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4DBD"/>
    <w:rsid w:val="00F072A3"/>
    <w:rsid w:val="00F1728B"/>
    <w:rsid w:val="00F20B4B"/>
    <w:rsid w:val="00F23FFA"/>
    <w:rsid w:val="00F27BDE"/>
    <w:rsid w:val="00F34384"/>
    <w:rsid w:val="00F35A73"/>
    <w:rsid w:val="00F433C6"/>
    <w:rsid w:val="00F43ECE"/>
    <w:rsid w:val="00F4703D"/>
    <w:rsid w:val="00F5335A"/>
    <w:rsid w:val="00F562CF"/>
    <w:rsid w:val="00F622FF"/>
    <w:rsid w:val="00F7415D"/>
    <w:rsid w:val="00F748C2"/>
    <w:rsid w:val="00F778B8"/>
    <w:rsid w:val="00F77FA1"/>
    <w:rsid w:val="00F84DFA"/>
    <w:rsid w:val="00F854C6"/>
    <w:rsid w:val="00F85914"/>
    <w:rsid w:val="00F86676"/>
    <w:rsid w:val="00F945E8"/>
    <w:rsid w:val="00F94D93"/>
    <w:rsid w:val="00FA7A25"/>
    <w:rsid w:val="00FB15A5"/>
    <w:rsid w:val="00FC1458"/>
    <w:rsid w:val="00FD2345"/>
    <w:rsid w:val="00FD2F4C"/>
    <w:rsid w:val="00FD51CB"/>
    <w:rsid w:val="00FD6A07"/>
    <w:rsid w:val="00FD7787"/>
    <w:rsid w:val="00FE2BBD"/>
    <w:rsid w:val="00FE2DD2"/>
    <w:rsid w:val="00FE3727"/>
    <w:rsid w:val="00FF1A78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6F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6F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6F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6F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6FD"/>
    <w:pPr>
      <w:spacing w:before="240" w:after="60" w:line="240" w:lineRule="auto"/>
      <w:outlineLvl w:val="8"/>
    </w:pPr>
    <w:rPr>
      <w:rFonts w:asciiTheme="majorHAnsi" w:eastAsiaTheme="majorEastAsia" w:hAnsiTheme="maj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06F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qFormat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BA06FD"/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96F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96F20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096F20"/>
    <w:rPr>
      <w:vertAlign w:val="superscript"/>
    </w:rPr>
  </w:style>
  <w:style w:type="paragraph" w:styleId="af4">
    <w:name w:val="Body Text"/>
    <w:basedOn w:val="a"/>
    <w:link w:val="af5"/>
    <w:semiHidden/>
    <w:rsid w:val="00280AC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5">
    <w:name w:val="Основной текст Знак"/>
    <w:basedOn w:val="a0"/>
    <w:link w:val="af4"/>
    <w:semiHidden/>
    <w:rsid w:val="00280ACD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A06F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A06F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06F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06FD"/>
    <w:rPr>
      <w:rFonts w:asciiTheme="majorHAnsi" w:eastAsiaTheme="majorEastAsia" w:hAnsiTheme="majorHAnsi"/>
      <w:sz w:val="22"/>
      <w:szCs w:val="22"/>
    </w:rPr>
  </w:style>
  <w:style w:type="character" w:customStyle="1" w:styleId="ez-toc-section">
    <w:name w:val="ez-toc-section"/>
    <w:basedOn w:val="a0"/>
    <w:rsid w:val="00BA06FD"/>
  </w:style>
  <w:style w:type="paragraph" w:customStyle="1" w:styleId="wp-caption-text">
    <w:name w:val="wp-caption-text"/>
    <w:basedOn w:val="a"/>
    <w:rsid w:val="00BA0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basedOn w:val="a0"/>
    <w:rsid w:val="00BA06FD"/>
  </w:style>
  <w:style w:type="paragraph" w:styleId="af6">
    <w:name w:val="Title"/>
    <w:basedOn w:val="a"/>
    <w:next w:val="a"/>
    <w:link w:val="af7"/>
    <w:uiPriority w:val="10"/>
    <w:qFormat/>
    <w:rsid w:val="00BA06F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BA06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BA06FD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BA06FD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06FD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A06FD"/>
    <w:rPr>
      <w:rFonts w:ascii="Times New Roman" w:eastAsia="Times New Roman" w:hAnsi="Times New Roman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BA06F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BA06FD"/>
    <w:rPr>
      <w:rFonts w:ascii="Times New Roman" w:eastAsia="Times New Roman" w:hAnsi="Times New Roman"/>
      <w:b/>
      <w:i/>
      <w:sz w:val="24"/>
      <w:szCs w:val="22"/>
    </w:rPr>
  </w:style>
  <w:style w:type="character" w:styleId="afc">
    <w:name w:val="Subtle Emphasis"/>
    <w:uiPriority w:val="19"/>
    <w:qFormat/>
    <w:rsid w:val="00BA06FD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BA06FD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BA06FD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BA06FD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BA06FD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termin">
    <w:name w:val="termin"/>
    <w:basedOn w:val="a0"/>
    <w:rsid w:val="00BA06FD"/>
  </w:style>
  <w:style w:type="character" w:customStyle="1" w:styleId="aff1">
    <w:name w:val="Текст примечания Знак"/>
    <w:basedOn w:val="a0"/>
    <w:link w:val="aff2"/>
    <w:uiPriority w:val="99"/>
    <w:semiHidden/>
    <w:rsid w:val="00BA06FD"/>
    <w:rPr>
      <w:rFonts w:ascii="Times New Roman" w:eastAsia="Times New Roman" w:hAnsi="Times New Roman"/>
    </w:rPr>
  </w:style>
  <w:style w:type="paragraph" w:styleId="aff2">
    <w:name w:val="annotation text"/>
    <w:basedOn w:val="a"/>
    <w:link w:val="aff1"/>
    <w:uiPriority w:val="99"/>
    <w:semiHidden/>
    <w:unhideWhenUsed/>
    <w:rsid w:val="00BA06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BA06FD"/>
    <w:rPr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A06FD"/>
    <w:rPr>
      <w:b/>
      <w:bCs/>
    </w:rPr>
  </w:style>
  <w:style w:type="paragraph" w:customStyle="1" w:styleId="11">
    <w:name w:val="1"/>
    <w:basedOn w:val="a"/>
    <w:next w:val="a5"/>
    <w:rsid w:val="00BA0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ListTable3Accent6">
    <w:name w:val="List Table 3 Accent 6"/>
    <w:basedOn w:val="a1"/>
    <w:uiPriority w:val="48"/>
    <w:rsid w:val="00BA06FD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695&amp;date=20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58A0-E898-4E69-A447-6FB4FDDA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21</Pages>
  <Words>8559</Words>
  <Characters>48787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57232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JKH-004</cp:lastModifiedBy>
  <cp:revision>7</cp:revision>
  <cp:lastPrinted>2023-01-25T06:01:00Z</cp:lastPrinted>
  <dcterms:created xsi:type="dcterms:W3CDTF">2022-12-26T11:37:00Z</dcterms:created>
  <dcterms:modified xsi:type="dcterms:W3CDTF">2023-08-07T13:39:00Z</dcterms:modified>
</cp:coreProperties>
</file>